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宋体"/>
          <w:b/>
          <w:sz w:val="36"/>
          <w:szCs w:val="36"/>
        </w:rPr>
      </w:pPr>
      <w:r>
        <w:rPr>
          <w:rFonts w:hint="eastAsia" w:ascii="宋体"/>
          <w:b/>
          <w:sz w:val="36"/>
          <w:szCs w:val="36"/>
        </w:rPr>
        <w:t>清单编制说明</w:t>
      </w:r>
    </w:p>
    <w:p>
      <w:pPr>
        <w:rPr>
          <w:rFonts w:ascii="宋体"/>
          <w:szCs w:val="21"/>
        </w:rPr>
      </w:pPr>
    </w:p>
    <w:p>
      <w:pPr>
        <w:spacing w:line="400" w:lineRule="exact"/>
        <w:rPr>
          <w:rFonts w:ascii="宋体"/>
          <w:szCs w:val="21"/>
        </w:rPr>
      </w:pPr>
      <w:r>
        <w:rPr>
          <w:rFonts w:hint="eastAsia" w:ascii="宋体"/>
          <w:szCs w:val="21"/>
        </w:rPr>
        <w:t>工程名称：</w:t>
      </w:r>
      <w:r>
        <w:rPr>
          <w:rFonts w:hint="eastAsia" w:ascii="宋体"/>
          <w:szCs w:val="21"/>
          <w:lang w:eastAsia="zh-CN"/>
        </w:rPr>
        <w:t>南京大厂九村幼儿园文承苑分园</w:t>
      </w:r>
      <w:r>
        <w:rPr>
          <w:rFonts w:hint="eastAsia" w:ascii="宋体"/>
          <w:szCs w:val="21"/>
        </w:rPr>
        <w:t>2024年暑期维修工程</w:t>
      </w:r>
    </w:p>
    <w:tbl>
      <w:tblPr>
        <w:tblStyle w:val="23"/>
        <w:tblW w:w="8876" w:type="dxa"/>
        <w:tblInd w:w="-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5" w:hRule="atLeast"/>
        </w:trPr>
        <w:tc>
          <w:tcPr>
            <w:tcW w:w="8876" w:type="dxa"/>
            <w:tcBorders>
              <w:top w:val="single" w:color="auto" w:sz="4" w:space="0"/>
              <w:left w:val="single" w:color="auto" w:sz="4" w:space="0"/>
              <w:bottom w:val="single" w:color="auto" w:sz="4" w:space="0"/>
              <w:right w:val="single" w:color="auto" w:sz="4" w:space="0"/>
            </w:tcBorders>
            <w:noWrap/>
          </w:tcPr>
          <w:p>
            <w:pPr>
              <w:spacing w:line="360" w:lineRule="auto"/>
              <w:ind w:firstLine="420" w:firstLineChars="200"/>
              <w:rPr>
                <w:rFonts w:ascii="宋体"/>
                <w:b w:val="0"/>
                <w:bCs/>
                <w:szCs w:val="21"/>
              </w:rPr>
            </w:pPr>
            <w:r>
              <w:rPr>
                <w:rFonts w:hint="eastAsia" w:ascii="宋体"/>
                <w:b w:val="0"/>
                <w:bCs/>
                <w:szCs w:val="21"/>
              </w:rPr>
              <w:t>一、工程概况：</w:t>
            </w:r>
          </w:p>
          <w:p>
            <w:pPr>
              <w:pStyle w:val="11"/>
              <w:adjustRightInd w:val="0"/>
              <w:snapToGrid w:val="0"/>
              <w:spacing w:line="360" w:lineRule="auto"/>
              <w:ind w:firstLine="630" w:firstLineChars="300"/>
              <w:jc w:val="both"/>
              <w:rPr>
                <w:rFonts w:hint="eastAsia" w:ascii="宋体" w:hAnsi="Times New Roman" w:eastAsia="宋体" w:cs="Times New Roman"/>
                <w:kern w:val="2"/>
                <w:sz w:val="21"/>
                <w:szCs w:val="21"/>
                <w:lang w:val="en-US" w:eastAsia="zh-CN" w:bidi="ar-SA"/>
              </w:rPr>
            </w:pPr>
            <w:r>
              <w:rPr>
                <w:rFonts w:hint="eastAsia" w:ascii="宋体" w:hAnsi="Times New Roman" w:eastAsia="宋体" w:cs="Times New Roman"/>
                <w:kern w:val="2"/>
                <w:sz w:val="21"/>
                <w:szCs w:val="21"/>
                <w:lang w:val="en-US" w:eastAsia="zh-CN" w:bidi="ar-SA"/>
              </w:rPr>
              <w:t>本项目地址位于</w:t>
            </w:r>
            <w:bookmarkStart w:id="0" w:name="_GoBack"/>
            <w:r>
              <w:rPr>
                <w:rFonts w:hint="eastAsia" w:cs="Times New Roman"/>
                <w:kern w:val="2"/>
                <w:sz w:val="21"/>
                <w:szCs w:val="21"/>
                <w:lang w:val="en-US" w:eastAsia="zh-CN" w:bidi="ar-SA"/>
              </w:rPr>
              <w:t>江</w:t>
            </w:r>
            <w:r>
              <w:rPr>
                <w:rFonts w:hint="eastAsia" w:ascii="宋体" w:hAnsi="Times New Roman" w:eastAsia="宋体" w:cs="Times New Roman"/>
                <w:kern w:val="2"/>
                <w:sz w:val="21"/>
                <w:szCs w:val="21"/>
                <w:lang w:val="en-US" w:eastAsia="zh-CN" w:bidi="ar-SA"/>
              </w:rPr>
              <w:t>苏省南京市六合区葛中路480号</w:t>
            </w:r>
            <w:bookmarkEnd w:id="0"/>
            <w:r>
              <w:rPr>
                <w:rFonts w:hint="eastAsia" w:ascii="宋体" w:hAnsi="Times New Roman" w:eastAsia="宋体" w:cs="Times New Roman"/>
                <w:kern w:val="2"/>
                <w:sz w:val="21"/>
                <w:szCs w:val="21"/>
                <w:lang w:val="en-US" w:eastAsia="zh-CN" w:bidi="ar-SA"/>
              </w:rPr>
              <w:t>。</w:t>
            </w:r>
          </w:p>
          <w:p>
            <w:pPr>
              <w:pStyle w:val="11"/>
              <w:adjustRightInd w:val="0"/>
              <w:snapToGrid w:val="0"/>
              <w:spacing w:line="360" w:lineRule="auto"/>
              <w:ind w:firstLine="480" w:firstLineChars="200"/>
              <w:jc w:val="both"/>
              <w:rPr>
                <w:rFonts w:hint="eastAsia" w:ascii="宋体"/>
                <w:szCs w:val="21"/>
              </w:rPr>
            </w:pPr>
            <w:r>
              <w:rPr>
                <w:rFonts w:hint="eastAsia" w:ascii="宋体"/>
                <w:szCs w:val="21"/>
              </w:rPr>
              <w:t>本次项目主要为2</w:t>
            </w:r>
            <w:r>
              <w:rPr>
                <w:rFonts w:ascii="宋体"/>
                <w:szCs w:val="21"/>
              </w:rPr>
              <w:t>024</w:t>
            </w:r>
            <w:r>
              <w:rPr>
                <w:rFonts w:hint="eastAsia" w:ascii="宋体"/>
                <w:szCs w:val="21"/>
              </w:rPr>
              <w:t>年校园暑期维修，含</w:t>
            </w:r>
            <w:r>
              <w:rPr>
                <w:rFonts w:hint="eastAsia"/>
                <w:szCs w:val="21"/>
                <w:lang w:eastAsia="zh-CN"/>
              </w:rPr>
              <w:t>教学楼以及门卫室外墙出新、教学楼楼顶屋面防水工程</w:t>
            </w:r>
            <w:r>
              <w:rPr>
                <w:rFonts w:hint="eastAsia" w:ascii="宋体"/>
                <w:szCs w:val="21"/>
              </w:rPr>
              <w:t>。</w:t>
            </w:r>
          </w:p>
          <w:p>
            <w:pPr>
              <w:pStyle w:val="11"/>
              <w:numPr>
                <w:ilvl w:val="0"/>
                <w:numId w:val="1"/>
              </w:numPr>
              <w:adjustRightInd w:val="0"/>
              <w:snapToGrid w:val="0"/>
              <w:spacing w:line="360" w:lineRule="auto"/>
              <w:ind w:firstLine="482" w:firstLineChars="200"/>
              <w:jc w:val="both"/>
              <w:rPr>
                <w:rFonts w:hint="eastAsia" w:ascii="宋体"/>
                <w:b/>
                <w:szCs w:val="21"/>
              </w:rPr>
            </w:pPr>
            <w:r>
              <w:rPr>
                <w:rFonts w:hint="eastAsia" w:ascii="宋体"/>
                <w:b/>
                <w:szCs w:val="21"/>
              </w:rPr>
              <w:t>计划工期：</w:t>
            </w:r>
          </w:p>
          <w:p>
            <w:pPr>
              <w:pStyle w:val="11"/>
              <w:numPr>
                <w:ilvl w:val="0"/>
                <w:numId w:val="0"/>
              </w:numPr>
              <w:adjustRightInd w:val="0"/>
              <w:snapToGrid w:val="0"/>
              <w:spacing w:line="360" w:lineRule="auto"/>
              <w:ind w:firstLine="480" w:firstLineChars="200"/>
              <w:jc w:val="both"/>
              <w:rPr>
                <w:rFonts w:ascii="宋体"/>
                <w:szCs w:val="21"/>
              </w:rPr>
            </w:pPr>
            <w:r>
              <w:rPr>
                <w:rFonts w:hint="eastAsia" w:ascii="宋体"/>
                <w:szCs w:val="21"/>
              </w:rPr>
              <w:t>详见招标文件。</w:t>
            </w:r>
          </w:p>
          <w:p>
            <w:pPr>
              <w:spacing w:line="360" w:lineRule="auto"/>
              <w:ind w:firstLine="422" w:firstLineChars="200"/>
              <w:rPr>
                <w:rFonts w:ascii="宋体"/>
                <w:szCs w:val="21"/>
              </w:rPr>
            </w:pPr>
            <w:r>
              <w:rPr>
                <w:rFonts w:hint="eastAsia" w:ascii="宋体"/>
                <w:b/>
                <w:szCs w:val="21"/>
              </w:rPr>
              <w:t>三、工程招标范围：</w:t>
            </w:r>
          </w:p>
          <w:p>
            <w:pPr>
              <w:spacing w:line="360" w:lineRule="auto"/>
              <w:ind w:firstLine="420" w:firstLineChars="200"/>
              <w:jc w:val="left"/>
              <w:rPr>
                <w:rFonts w:ascii="宋体"/>
                <w:szCs w:val="21"/>
              </w:rPr>
            </w:pPr>
            <w:r>
              <w:rPr>
                <w:rFonts w:hint="eastAsia" w:ascii="宋体"/>
                <w:szCs w:val="21"/>
              </w:rPr>
              <w:t>详见招标文件及工程量清单。</w:t>
            </w:r>
          </w:p>
          <w:p>
            <w:pPr>
              <w:spacing w:line="360" w:lineRule="auto"/>
              <w:ind w:firstLine="422" w:firstLineChars="200"/>
              <w:rPr>
                <w:rFonts w:ascii="宋体"/>
                <w:b/>
                <w:szCs w:val="21"/>
              </w:rPr>
            </w:pPr>
            <w:r>
              <w:rPr>
                <w:rFonts w:hint="eastAsia" w:ascii="宋体"/>
                <w:b/>
                <w:szCs w:val="21"/>
              </w:rPr>
              <w:t>四、编制依据：</w:t>
            </w:r>
          </w:p>
          <w:p>
            <w:pPr>
              <w:spacing w:line="360" w:lineRule="auto"/>
              <w:ind w:firstLine="420" w:firstLineChars="200"/>
              <w:jc w:val="left"/>
              <w:rPr>
                <w:rFonts w:ascii="宋体"/>
                <w:szCs w:val="21"/>
              </w:rPr>
            </w:pPr>
            <w:r>
              <w:rPr>
                <w:rFonts w:hint="eastAsia" w:ascii="宋体"/>
                <w:szCs w:val="21"/>
              </w:rPr>
              <w:t>1、南京</w:t>
            </w:r>
            <w:r>
              <w:rPr>
                <w:rFonts w:hint="eastAsia" w:ascii="宋体"/>
                <w:szCs w:val="21"/>
                <w:lang w:eastAsia="zh-CN"/>
              </w:rPr>
              <w:t>大厂九幼幼儿园</w:t>
            </w:r>
            <w:r>
              <w:rPr>
                <w:rFonts w:hint="eastAsia" w:ascii="宋体"/>
                <w:szCs w:val="21"/>
              </w:rPr>
              <w:t>确认的《</w:t>
            </w:r>
            <w:r>
              <w:rPr>
                <w:rFonts w:hint="eastAsia" w:ascii="宋体"/>
                <w:szCs w:val="21"/>
                <w:lang w:eastAsia="zh-CN"/>
              </w:rPr>
              <w:t>南京大厂九幼（自筹）维修项目计划</w:t>
            </w:r>
            <w:r>
              <w:rPr>
                <w:rFonts w:hint="eastAsia" w:ascii="宋体"/>
                <w:szCs w:val="21"/>
              </w:rPr>
              <w:t>》</w:t>
            </w:r>
            <w:r>
              <w:rPr>
                <w:rFonts w:hint="eastAsia" w:ascii="宋体"/>
                <w:szCs w:val="21"/>
                <w:lang w:eastAsia="zh-CN"/>
              </w:rPr>
              <w:t>清单</w:t>
            </w:r>
            <w:r>
              <w:rPr>
                <w:rFonts w:hint="eastAsia" w:ascii="宋体"/>
                <w:szCs w:val="21"/>
              </w:rPr>
              <w:t>；</w:t>
            </w:r>
          </w:p>
          <w:p>
            <w:pPr>
              <w:spacing w:line="360" w:lineRule="auto"/>
              <w:ind w:firstLine="420" w:firstLineChars="200"/>
              <w:jc w:val="left"/>
              <w:rPr>
                <w:rFonts w:ascii="宋体"/>
                <w:szCs w:val="21"/>
              </w:rPr>
            </w:pPr>
            <w:r>
              <w:rPr>
                <w:rFonts w:hint="eastAsia" w:ascii="宋体"/>
                <w:szCs w:val="21"/>
              </w:rPr>
              <w:t>2、《建设工程工程量清单计价规范》GB50500-2013及《房屋建筑与装饰工程工程量计算规范》GB50854-2013等9本工程量计算规范；</w:t>
            </w:r>
          </w:p>
          <w:p>
            <w:pPr>
              <w:spacing w:line="360" w:lineRule="auto"/>
              <w:ind w:firstLine="420" w:firstLineChars="200"/>
              <w:jc w:val="left"/>
              <w:rPr>
                <w:rFonts w:ascii="宋体"/>
                <w:szCs w:val="21"/>
              </w:rPr>
            </w:pPr>
            <w:r>
              <w:rPr>
                <w:rFonts w:hint="eastAsia" w:ascii="宋体"/>
                <w:szCs w:val="21"/>
              </w:rPr>
              <w:t>3、江苏省及南京市发布的有关造价文件；</w:t>
            </w:r>
          </w:p>
          <w:p>
            <w:pPr>
              <w:spacing w:line="360" w:lineRule="auto"/>
              <w:ind w:firstLine="420" w:firstLineChars="200"/>
              <w:jc w:val="left"/>
              <w:rPr>
                <w:rFonts w:ascii="宋体"/>
                <w:szCs w:val="21"/>
              </w:rPr>
            </w:pPr>
            <w:r>
              <w:rPr>
                <w:rFonts w:hint="eastAsia" w:ascii="宋体"/>
                <w:szCs w:val="21"/>
              </w:rPr>
              <w:t>4、国家及地方施工规范、施工工艺标准及相关图集。</w:t>
            </w:r>
          </w:p>
          <w:p>
            <w:pPr>
              <w:spacing w:line="360" w:lineRule="auto"/>
              <w:ind w:firstLine="420" w:firstLineChars="200"/>
              <w:jc w:val="left"/>
              <w:rPr>
                <w:rFonts w:ascii="宋体"/>
                <w:b/>
                <w:szCs w:val="21"/>
              </w:rPr>
            </w:pPr>
            <w:r>
              <w:rPr>
                <w:rFonts w:hint="eastAsia" w:ascii="宋体"/>
                <w:szCs w:val="21"/>
              </w:rPr>
              <w:t>5、招标文件及其他相关文件。</w:t>
            </w:r>
          </w:p>
          <w:p>
            <w:pPr>
              <w:widowControl/>
              <w:spacing w:line="400" w:lineRule="exact"/>
              <w:ind w:left="780" w:hanging="360"/>
              <w:jc w:val="left"/>
              <w:rPr>
                <w:rFonts w:ascii="宋体"/>
                <w:b/>
                <w:szCs w:val="21"/>
              </w:rPr>
            </w:pPr>
            <w:r>
              <w:rPr>
                <w:rFonts w:hint="eastAsia" w:ascii="宋体"/>
                <w:b/>
                <w:szCs w:val="21"/>
              </w:rPr>
              <w:t>五、暂列金额、专业工程暂估价、总承包服务费：</w:t>
            </w:r>
          </w:p>
          <w:p>
            <w:pPr>
              <w:pStyle w:val="43"/>
              <w:numPr>
                <w:ilvl w:val="0"/>
                <w:numId w:val="2"/>
              </w:numPr>
              <w:spacing w:line="400" w:lineRule="exact"/>
              <w:ind w:firstLineChars="0"/>
              <w:rPr>
                <w:rFonts w:ascii="宋体"/>
                <w:szCs w:val="21"/>
              </w:rPr>
            </w:pPr>
            <w:r>
              <w:rPr>
                <w:rFonts w:hint="eastAsia" w:ascii="宋体"/>
                <w:szCs w:val="21"/>
              </w:rPr>
              <w:t>暂列金额：按分部分项工程费的</w:t>
            </w:r>
            <w:r>
              <w:rPr>
                <w:rFonts w:hint="eastAsia" w:ascii="宋体"/>
                <w:szCs w:val="21"/>
                <w:lang w:val="en-US" w:eastAsia="zh-CN"/>
              </w:rPr>
              <w:t>5</w:t>
            </w:r>
            <w:r>
              <w:rPr>
                <w:rFonts w:ascii="宋体"/>
                <w:szCs w:val="21"/>
              </w:rPr>
              <w:t>%</w:t>
            </w:r>
            <w:r>
              <w:rPr>
                <w:rFonts w:hint="eastAsia" w:ascii="宋体"/>
                <w:szCs w:val="21"/>
              </w:rPr>
              <w:t>计取。</w:t>
            </w:r>
          </w:p>
          <w:p>
            <w:pPr>
              <w:pStyle w:val="43"/>
              <w:numPr>
                <w:ilvl w:val="0"/>
                <w:numId w:val="2"/>
              </w:numPr>
              <w:spacing w:line="400" w:lineRule="exact"/>
              <w:ind w:firstLineChars="0"/>
              <w:rPr>
                <w:rFonts w:ascii="宋体"/>
                <w:szCs w:val="21"/>
              </w:rPr>
            </w:pPr>
            <w:r>
              <w:rPr>
                <w:rFonts w:hint="eastAsia" w:ascii="宋体"/>
                <w:szCs w:val="21"/>
              </w:rPr>
              <w:t>暂估价：无。</w:t>
            </w:r>
          </w:p>
          <w:p>
            <w:pPr>
              <w:spacing w:line="360" w:lineRule="auto"/>
              <w:ind w:firstLine="420" w:firstLineChars="200"/>
              <w:jc w:val="left"/>
              <w:rPr>
                <w:rFonts w:ascii="宋体"/>
                <w:b/>
                <w:szCs w:val="21"/>
              </w:rPr>
            </w:pPr>
            <w:r>
              <w:rPr>
                <w:rFonts w:hint="eastAsia" w:ascii="宋体"/>
                <w:szCs w:val="21"/>
              </w:rPr>
              <w:t>3、总承包服务费：无。</w:t>
            </w:r>
          </w:p>
          <w:p>
            <w:pPr>
              <w:widowControl/>
              <w:spacing w:line="400" w:lineRule="exact"/>
              <w:ind w:left="780" w:hanging="360"/>
              <w:jc w:val="left"/>
              <w:rPr>
                <w:rFonts w:ascii="宋体"/>
                <w:b/>
                <w:szCs w:val="21"/>
              </w:rPr>
            </w:pPr>
            <w:r>
              <w:rPr>
                <w:rFonts w:hint="eastAsia" w:ascii="宋体"/>
                <w:b/>
                <w:szCs w:val="21"/>
              </w:rPr>
              <w:t>六、投标报价说明</w:t>
            </w:r>
          </w:p>
          <w:p>
            <w:pPr>
              <w:spacing w:line="360" w:lineRule="auto"/>
              <w:ind w:firstLine="420" w:firstLineChars="200"/>
              <w:jc w:val="left"/>
              <w:rPr>
                <w:rFonts w:ascii="宋体"/>
                <w:szCs w:val="21"/>
              </w:rPr>
            </w:pPr>
            <w:r>
              <w:rPr>
                <w:rFonts w:hint="eastAsia" w:ascii="宋体"/>
                <w:szCs w:val="21"/>
              </w:rPr>
              <w:t>1、工程量清单中标价的综合单价或金额，应包括所需人工费、施工机械使用费、材料费、其他（运杂费、质检费、安装费、缺陷修复费、保险费，以及合同明示或暗示的风险、责任和义务等），以及管理费、利润等。</w:t>
            </w:r>
          </w:p>
          <w:p>
            <w:pPr>
              <w:spacing w:line="360" w:lineRule="auto"/>
              <w:ind w:firstLine="420" w:firstLineChars="200"/>
              <w:jc w:val="left"/>
              <w:rPr>
                <w:rFonts w:ascii="宋体"/>
                <w:szCs w:val="21"/>
              </w:rPr>
            </w:pPr>
            <w:r>
              <w:rPr>
                <w:rFonts w:hint="eastAsia" w:ascii="宋体"/>
                <w:szCs w:val="21"/>
              </w:rPr>
              <w:t>2、投标报价的计价方法按《建筑工程工程量清单计价规范》(GB50500-2013)执行。</w:t>
            </w:r>
          </w:p>
          <w:p>
            <w:pPr>
              <w:spacing w:line="360" w:lineRule="auto"/>
              <w:ind w:firstLine="420" w:firstLineChars="200"/>
              <w:jc w:val="left"/>
              <w:rPr>
                <w:rFonts w:ascii="宋体"/>
                <w:szCs w:val="21"/>
              </w:rPr>
            </w:pPr>
            <w:r>
              <w:rPr>
                <w:rFonts w:hint="eastAsia" w:ascii="宋体"/>
                <w:szCs w:val="21"/>
              </w:rPr>
              <w:t>3、投标人在投标报价时，应以清单项目特征结合本项目范围及做法确认单、答疑、现场实际情况等综合考虑报价，清单中描述不清时请以范围做法确认单、答疑、现场实际情况为准，施工各项技术指标均应符合相关的技术规格说明、相关规范/标准、质量验收标准要求。</w:t>
            </w:r>
          </w:p>
          <w:p>
            <w:pPr>
              <w:spacing w:line="360" w:lineRule="auto"/>
              <w:ind w:firstLine="420" w:firstLineChars="200"/>
              <w:jc w:val="left"/>
              <w:rPr>
                <w:rFonts w:ascii="宋体"/>
                <w:szCs w:val="21"/>
              </w:rPr>
            </w:pPr>
            <w:r>
              <w:rPr>
                <w:rFonts w:hint="eastAsia" w:ascii="宋体"/>
                <w:szCs w:val="21"/>
              </w:rPr>
              <w:t>4、工程量清单中措施项目清单内容仅供参考，投标人根据本工程具体情况、现场条件及自身施工方案自行增添内容，自主报价，未报价项目视同让利。</w:t>
            </w:r>
          </w:p>
          <w:p>
            <w:pPr>
              <w:spacing w:line="360" w:lineRule="auto"/>
              <w:ind w:firstLine="420" w:firstLineChars="200"/>
              <w:jc w:val="left"/>
              <w:rPr>
                <w:rFonts w:ascii="宋体"/>
                <w:szCs w:val="21"/>
              </w:rPr>
            </w:pPr>
            <w:r>
              <w:rPr>
                <w:rFonts w:hint="eastAsia" w:ascii="宋体"/>
                <w:szCs w:val="21"/>
              </w:rPr>
              <w:t>5、除安全文明施工措施费及扬尘污染防治费等不可竞争性费及模板外，其他措施费投标单位应根据招标文件、图纸、技术说明、各类规范、现场条件及自身条件填报单价/价款。</w:t>
            </w:r>
          </w:p>
          <w:p>
            <w:pPr>
              <w:spacing w:line="360" w:lineRule="auto"/>
              <w:ind w:firstLine="420" w:firstLineChars="200"/>
              <w:jc w:val="left"/>
              <w:rPr>
                <w:rFonts w:ascii="宋体"/>
                <w:szCs w:val="21"/>
              </w:rPr>
            </w:pPr>
            <w:r>
              <w:rPr>
                <w:rFonts w:hint="eastAsia" w:ascii="宋体"/>
                <w:szCs w:val="21"/>
              </w:rPr>
              <w:t>6、工程量清单报价应包括完成招标文件规定的工程量清单项目所需的全部费用，其内涵：A、包括分部分项工程费、措施费、其他项目费、规费及税金等；B、包括完成每分部分项工程所含全部工程内容的费用；C、包括完成每项工程内容所需的全部费用；D、考虑风险因素而调整的费用；E、因招标人在招标文件中的要求而发生的费用。</w:t>
            </w:r>
          </w:p>
          <w:p>
            <w:pPr>
              <w:spacing w:line="360" w:lineRule="auto"/>
              <w:ind w:firstLine="420" w:firstLineChars="200"/>
              <w:jc w:val="left"/>
              <w:rPr>
                <w:rFonts w:ascii="宋体"/>
                <w:szCs w:val="21"/>
              </w:rPr>
            </w:pPr>
            <w:r>
              <w:rPr>
                <w:rFonts w:hint="eastAsia" w:ascii="宋体"/>
                <w:szCs w:val="21"/>
              </w:rPr>
              <w:t>7、投标报价中，分部分项工程量清单计价表中相同分项综合单价应保持基本一致；分项综合单价低于市场价视为投标让利，结算时不予调整。相同分部分项工程量清单如有不一致，结算时将按单价最低者计取。</w:t>
            </w:r>
          </w:p>
          <w:p>
            <w:pPr>
              <w:spacing w:line="360" w:lineRule="auto"/>
              <w:ind w:firstLine="420" w:firstLineChars="200"/>
              <w:jc w:val="left"/>
              <w:rPr>
                <w:rFonts w:ascii="宋体"/>
                <w:szCs w:val="21"/>
              </w:rPr>
            </w:pPr>
            <w:r>
              <w:rPr>
                <w:rFonts w:hint="eastAsia" w:ascii="宋体"/>
                <w:szCs w:val="21"/>
              </w:rPr>
              <w:t>8、施工用水、电由投标人负责从发包人提供的水源电源接入施工现场，并单独装表计量，费用由承包人承担并计入投标报价中。</w:t>
            </w:r>
          </w:p>
          <w:p>
            <w:pPr>
              <w:spacing w:line="360" w:lineRule="auto"/>
              <w:ind w:firstLine="420" w:firstLineChars="200"/>
              <w:jc w:val="left"/>
              <w:rPr>
                <w:rFonts w:ascii="宋体"/>
                <w:szCs w:val="21"/>
              </w:rPr>
            </w:pPr>
            <w:r>
              <w:rPr>
                <w:rFonts w:hint="eastAsia" w:ascii="宋体"/>
                <w:szCs w:val="21"/>
              </w:rPr>
              <w:t>9、投标人应充分考虑好施工垃圾清理及外运工作，费用含在投标报价中，结算不予调整。</w:t>
            </w:r>
          </w:p>
          <w:p>
            <w:pPr>
              <w:spacing w:line="360" w:lineRule="auto"/>
              <w:ind w:firstLine="420" w:firstLineChars="200"/>
              <w:jc w:val="left"/>
              <w:rPr>
                <w:rFonts w:hint="eastAsia" w:ascii="宋体"/>
                <w:szCs w:val="21"/>
              </w:rPr>
            </w:pPr>
            <w:r>
              <w:rPr>
                <w:rFonts w:hint="eastAsia" w:ascii="宋体"/>
                <w:szCs w:val="21"/>
              </w:rPr>
              <w:t>10、中标后，中标人应提供未来计价软件版的标价的工程量清单。</w:t>
            </w:r>
          </w:p>
          <w:p>
            <w:pPr>
              <w:spacing w:line="360" w:lineRule="auto"/>
              <w:ind w:firstLine="420" w:firstLineChars="200"/>
              <w:jc w:val="left"/>
              <w:rPr>
                <w:rFonts w:hint="eastAsia" w:ascii="宋体"/>
                <w:szCs w:val="21"/>
              </w:rPr>
            </w:pPr>
          </w:p>
          <w:p>
            <w:pPr>
              <w:spacing w:line="360" w:lineRule="auto"/>
              <w:ind w:firstLine="420" w:firstLineChars="200"/>
              <w:jc w:val="left"/>
              <w:rPr>
                <w:rFonts w:hint="eastAsia" w:ascii="宋体"/>
                <w:szCs w:val="21"/>
              </w:rPr>
            </w:pPr>
          </w:p>
          <w:p>
            <w:pPr>
              <w:spacing w:line="360" w:lineRule="auto"/>
              <w:ind w:firstLine="420" w:firstLineChars="200"/>
              <w:jc w:val="left"/>
              <w:rPr>
                <w:rFonts w:hint="eastAsia" w:ascii="宋体"/>
                <w:szCs w:val="21"/>
              </w:rPr>
            </w:pPr>
          </w:p>
          <w:p>
            <w:pPr>
              <w:spacing w:line="360" w:lineRule="auto"/>
              <w:ind w:firstLine="420" w:firstLineChars="200"/>
              <w:jc w:val="left"/>
              <w:rPr>
                <w:rFonts w:hint="eastAsia" w:ascii="宋体"/>
                <w:szCs w:val="21"/>
              </w:rPr>
            </w:pPr>
          </w:p>
          <w:p>
            <w:pPr>
              <w:spacing w:line="360" w:lineRule="auto"/>
              <w:ind w:firstLine="420" w:firstLineChars="200"/>
              <w:jc w:val="left"/>
              <w:rPr>
                <w:rFonts w:hint="eastAsia" w:ascii="宋体"/>
                <w:szCs w:val="21"/>
              </w:rPr>
            </w:pPr>
          </w:p>
          <w:p>
            <w:pPr>
              <w:spacing w:line="360" w:lineRule="auto"/>
              <w:ind w:firstLine="420" w:firstLineChars="200"/>
              <w:jc w:val="left"/>
              <w:rPr>
                <w:rFonts w:hint="eastAsia" w:ascii="宋体"/>
                <w:szCs w:val="21"/>
              </w:rPr>
            </w:pPr>
          </w:p>
          <w:p>
            <w:pPr>
              <w:spacing w:line="360" w:lineRule="auto"/>
              <w:ind w:firstLine="420" w:firstLineChars="200"/>
              <w:jc w:val="left"/>
              <w:rPr>
                <w:rFonts w:hint="eastAsia" w:ascii="宋体"/>
                <w:szCs w:val="21"/>
              </w:rPr>
            </w:pPr>
          </w:p>
          <w:p>
            <w:pPr>
              <w:spacing w:line="360" w:lineRule="auto"/>
              <w:ind w:firstLine="420" w:firstLineChars="200"/>
              <w:jc w:val="left"/>
              <w:rPr>
                <w:rFonts w:hint="eastAsia" w:ascii="宋体"/>
                <w:szCs w:val="21"/>
              </w:rPr>
            </w:pPr>
          </w:p>
          <w:p>
            <w:pPr>
              <w:spacing w:line="360" w:lineRule="auto"/>
              <w:ind w:firstLine="420" w:firstLineChars="200"/>
              <w:jc w:val="left"/>
              <w:rPr>
                <w:rFonts w:hint="eastAsia" w:ascii="宋体"/>
                <w:szCs w:val="21"/>
              </w:rPr>
            </w:pPr>
          </w:p>
          <w:p>
            <w:pPr>
              <w:spacing w:line="360" w:lineRule="auto"/>
              <w:ind w:firstLine="420" w:firstLineChars="200"/>
              <w:jc w:val="left"/>
              <w:rPr>
                <w:rFonts w:hint="eastAsia" w:ascii="宋体"/>
                <w:szCs w:val="21"/>
              </w:rPr>
            </w:pPr>
          </w:p>
          <w:p>
            <w:pPr>
              <w:spacing w:line="360" w:lineRule="auto"/>
              <w:ind w:firstLine="420" w:firstLineChars="200"/>
              <w:jc w:val="left"/>
              <w:rPr>
                <w:rFonts w:hint="eastAsia" w:ascii="宋体"/>
                <w:szCs w:val="21"/>
              </w:rPr>
            </w:pPr>
          </w:p>
        </w:tc>
      </w:tr>
    </w:tbl>
    <w:p>
      <w:pPr>
        <w:spacing w:line="360" w:lineRule="auto"/>
      </w:pPr>
    </w:p>
    <w:sectPr>
      <w:headerReference r:id="rId3" w:type="default"/>
      <w:pgSz w:w="11906" w:h="16838"/>
      <w:pgMar w:top="1588" w:right="1361" w:bottom="1418" w:left="1701" w:header="907"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B74A5A"/>
    <w:multiLevelType w:val="multilevel"/>
    <w:tmpl w:val="06B74A5A"/>
    <w:lvl w:ilvl="0" w:tentative="0">
      <w:start w:val="1"/>
      <w:numFmt w:val="decimal"/>
      <w:suff w:val="nothing"/>
      <w:lvlText w:val="%1、"/>
      <w:lvlJc w:val="left"/>
      <w:pPr>
        <w:ind w:left="780" w:hanging="360"/>
      </w:pPr>
      <w:rPr>
        <w:rFonts w:hint="default" w:cs="Times New Roman"/>
      </w:rPr>
    </w:lvl>
    <w:lvl w:ilvl="1" w:tentative="0">
      <w:start w:val="1"/>
      <w:numFmt w:val="lowerLetter"/>
      <w:lvlText w:val="%2)"/>
      <w:lvlJc w:val="left"/>
      <w:pPr>
        <w:ind w:left="1260" w:hanging="420"/>
      </w:pPr>
      <w:rPr>
        <w:rFonts w:hint="eastAsia" w:cs="Times New Roman"/>
      </w:rPr>
    </w:lvl>
    <w:lvl w:ilvl="2" w:tentative="0">
      <w:start w:val="1"/>
      <w:numFmt w:val="lowerRoman"/>
      <w:lvlText w:val="%3."/>
      <w:lvlJc w:val="right"/>
      <w:pPr>
        <w:ind w:left="1680" w:hanging="420"/>
      </w:pPr>
      <w:rPr>
        <w:rFonts w:hint="eastAsia" w:cs="Times New Roman"/>
      </w:rPr>
    </w:lvl>
    <w:lvl w:ilvl="3" w:tentative="0">
      <w:start w:val="1"/>
      <w:numFmt w:val="decimal"/>
      <w:lvlText w:val="%4."/>
      <w:lvlJc w:val="left"/>
      <w:pPr>
        <w:ind w:left="2100" w:hanging="420"/>
      </w:pPr>
      <w:rPr>
        <w:rFonts w:hint="eastAsia" w:cs="Times New Roman"/>
      </w:rPr>
    </w:lvl>
    <w:lvl w:ilvl="4" w:tentative="0">
      <w:start w:val="1"/>
      <w:numFmt w:val="lowerLetter"/>
      <w:lvlText w:val="%5)"/>
      <w:lvlJc w:val="left"/>
      <w:pPr>
        <w:ind w:left="2520" w:hanging="420"/>
      </w:pPr>
      <w:rPr>
        <w:rFonts w:hint="eastAsia" w:cs="Times New Roman"/>
      </w:rPr>
    </w:lvl>
    <w:lvl w:ilvl="5" w:tentative="0">
      <w:start w:val="1"/>
      <w:numFmt w:val="lowerRoman"/>
      <w:lvlText w:val="%6."/>
      <w:lvlJc w:val="right"/>
      <w:pPr>
        <w:ind w:left="2940" w:hanging="420"/>
      </w:pPr>
      <w:rPr>
        <w:rFonts w:hint="eastAsia" w:cs="Times New Roman"/>
      </w:rPr>
    </w:lvl>
    <w:lvl w:ilvl="6" w:tentative="0">
      <w:start w:val="1"/>
      <w:numFmt w:val="decimal"/>
      <w:lvlText w:val="%7."/>
      <w:lvlJc w:val="left"/>
      <w:pPr>
        <w:ind w:left="3360" w:hanging="420"/>
      </w:pPr>
      <w:rPr>
        <w:rFonts w:hint="eastAsia" w:cs="Times New Roman"/>
      </w:rPr>
    </w:lvl>
    <w:lvl w:ilvl="7" w:tentative="0">
      <w:start w:val="1"/>
      <w:numFmt w:val="lowerLetter"/>
      <w:lvlText w:val="%8)"/>
      <w:lvlJc w:val="left"/>
      <w:pPr>
        <w:ind w:left="3780" w:hanging="420"/>
      </w:pPr>
      <w:rPr>
        <w:rFonts w:hint="eastAsia" w:cs="Times New Roman"/>
      </w:rPr>
    </w:lvl>
    <w:lvl w:ilvl="8" w:tentative="0">
      <w:start w:val="1"/>
      <w:numFmt w:val="lowerRoman"/>
      <w:lvlText w:val="%9."/>
      <w:lvlJc w:val="right"/>
      <w:pPr>
        <w:ind w:left="4200" w:hanging="420"/>
      </w:pPr>
      <w:rPr>
        <w:rFonts w:hint="eastAsia" w:cs="Times New Roman"/>
      </w:rPr>
    </w:lvl>
  </w:abstractNum>
  <w:abstractNum w:abstractNumId="1">
    <w:nsid w:val="2340F010"/>
    <w:multiLevelType w:val="singleLevel"/>
    <w:tmpl w:val="2340F010"/>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ulTrailSpace/>
    <w:doNotExpandShiftReturn/>
    <w:adjustLineHeightInTable/>
    <w:useFELayout/>
    <w:doNotUseIndentAsNumberingTabStop/>
    <w:useAltKinsokuLineBreakRules/>
    <w:compatSetting w:name="compatibilityMode" w:uri="http://schemas.microsoft.com/office/word" w:val="14"/>
  </w:compat>
  <w:docVars>
    <w:docVar w:name="commondata" w:val="eyJoZGlkIjoiYTI3NzEyOTg3ZDk0YmEwNDE2ODhhOTBkNjM0ZDA5NGUifQ=="/>
  </w:docVars>
  <w:rsids>
    <w:rsidRoot w:val="00E913CF"/>
    <w:rsid w:val="00062778"/>
    <w:rsid w:val="000A64AC"/>
    <w:rsid w:val="0011574A"/>
    <w:rsid w:val="0014379C"/>
    <w:rsid w:val="00154E58"/>
    <w:rsid w:val="001E680F"/>
    <w:rsid w:val="002569CD"/>
    <w:rsid w:val="00336017"/>
    <w:rsid w:val="00460C39"/>
    <w:rsid w:val="005C09EA"/>
    <w:rsid w:val="005E0E1F"/>
    <w:rsid w:val="00644A93"/>
    <w:rsid w:val="0082344F"/>
    <w:rsid w:val="008267BE"/>
    <w:rsid w:val="00853AEE"/>
    <w:rsid w:val="008A11A0"/>
    <w:rsid w:val="009A6E12"/>
    <w:rsid w:val="00B60281"/>
    <w:rsid w:val="00BE7F65"/>
    <w:rsid w:val="00CA3C50"/>
    <w:rsid w:val="00CC6A51"/>
    <w:rsid w:val="00D900BA"/>
    <w:rsid w:val="00DA52A3"/>
    <w:rsid w:val="00E57963"/>
    <w:rsid w:val="00E71D19"/>
    <w:rsid w:val="00E913CF"/>
    <w:rsid w:val="00ED1B12"/>
    <w:rsid w:val="00EF5F5E"/>
    <w:rsid w:val="1F0F2A21"/>
    <w:rsid w:val="72415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ocked="1"/>
    <w:lsdException w:qFormat="1" w:unhideWhenUsed="0" w:uiPriority="0" w:semiHidden="0" w:name="heading 3"/>
    <w:lsdException w:uiPriority="0" w:name="heading 4" w:locked="1"/>
    <w:lsdException w:uiPriority="0" w:name="heading 5" w:locked="1"/>
    <w:lsdException w:uiPriority="0" w:name="heading 6" w:locked="1"/>
    <w:lsdException w:uiPriority="0" w:name="heading 7" w:locked="1"/>
    <w:lsdException w:uiPriority="0" w:name="heading 8" w:locked="1"/>
    <w:lsdException w:uiPriority="0"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qFormat="1" w:unhideWhenUsed="0" w:uiPriority="0" w:semiHidden="0" w:name="toc 1"/>
    <w:lsdException w:qFormat="1" w:unhideWhenUsed="0" w:uiPriority="0" w:semiHidden="0" w:name="toc 2"/>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qFormat="1" w:unhideWhenUsed="0" w:uiPriority="0" w:semiHidden="0" w:name="Normal Indent"/>
    <w:lsdException w:uiPriority="0" w:name="footnote text" w:locked="1"/>
    <w:lsdException w:qFormat="1" w:unhideWhenUsed="0" w:uiPriority="0" w:semiHidden="0" w:name="annotation text" w:locked="1"/>
    <w:lsdException w:qFormat="1" w:unhideWhenUsed="0" w:uiPriority="0" w:semiHidden="0" w:name="header"/>
    <w:lsdException w:qFormat="1" w:unhideWhenUsed="0" w:uiPriority="0" w:semiHidden="0" w:name="footer"/>
    <w:lsdException w:uiPriority="0" w:name="index heading" w:locked="1"/>
    <w:lsdException w:uiPriority="0" w:name="caption" w:locked="1"/>
    <w:lsdException w:uiPriority="0" w:name="table of figures" w:locked="1"/>
    <w:lsdException w:uiPriority="0" w:name="envelope address" w:locked="1"/>
    <w:lsdException w:uiPriority="0" w:name="envelope return" w:locked="1"/>
    <w:lsdException w:uiPriority="0" w:name="footnote reference" w:locked="1"/>
    <w:lsdException w:uiPriority="0" w:name="annotation reference" w:locked="1"/>
    <w:lsdException w:uiPriority="0" w:name="line number" w:locked="1"/>
    <w:lsdException w:qFormat="1" w:unhideWhenUsed="0" w:uiPriority="0"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0" w:semiHidden="0" w:name="Title"/>
    <w:lsdException w:uiPriority="0" w:name="Closing" w:locked="1"/>
    <w:lsdException w:uiPriority="0" w:name="Signature" w:locked="1"/>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0" w:semiHidden="0" w:name="Subtitle"/>
    <w:lsdException w:uiPriority="0" w:name="Salutation" w:locked="1"/>
    <w:lsdException w:qFormat="1" w:unhideWhenUsed="0" w:uiPriority="0" w:semiHidden="0" w:name="Date"/>
    <w:lsdException w:uiPriority="0" w:name="Body Text First Indent" w:locked="1"/>
    <w:lsdException w:uiPriority="0" w:name="Body Text First Indent 2" w:locked="1"/>
    <w:lsdException w:uiPriority="0" w:name="Note Heading" w:locked="1"/>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ocked="1"/>
    <w:lsdException w:uiPriority="99" w:name="Block Text" w:locked="1"/>
    <w:lsdException w:qFormat="1" w:unhideWhenUsed="0" w:uiPriority="0" w:semiHidden="0" w:name="Hyperlink"/>
    <w:lsdException w:uiPriority="99" w:name="FollowedHyperlink" w:locked="1"/>
    <w:lsdException w:qFormat="1" w:unhideWhenUsed="0" w:uiPriority="0" w:semiHidden="0" w:name="Strong"/>
    <w:lsdException w:qFormat="1" w:unhideWhenUsed="0" w:uiPriority="20" w:semiHidden="0" w:name="Emphasis" w:locked="1"/>
    <w:lsdException w:qFormat="1" w:unhideWhenUsed="0" w:uiPriority="0" w:semiHidden="0" w:name="Document Map"/>
    <w:lsdException w:qFormat="1" w:unhideWhenUsed="0" w:uiPriority="0" w:semiHidden="0" w:name="Plain Text"/>
    <w:lsdException w:uiPriority="99" w:name="E-mail Signature" w:locked="1"/>
    <w:lsdException w:qFormat="1" w:unhideWhenUsed="0" w:uiPriority="0"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uiPriority="99" w:name="annotation subject" w:locked="1"/>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widowControl/>
      <w:spacing w:before="100" w:beforeAutospacing="1" w:after="100" w:afterAutospacing="1"/>
      <w:jc w:val="center"/>
      <w:outlineLvl w:val="0"/>
    </w:pPr>
    <w:rPr>
      <w:rFonts w:ascii="宋体" w:hAnsi="宋体" w:eastAsia="黑体"/>
      <w:kern w:val="36"/>
      <w:sz w:val="48"/>
      <w:szCs w:val="20"/>
    </w:rPr>
  </w:style>
  <w:style w:type="paragraph" w:styleId="3">
    <w:name w:val="heading 2"/>
    <w:basedOn w:val="1"/>
    <w:next w:val="1"/>
    <w:autoRedefine/>
    <w:qFormat/>
    <w:locked/>
    <w:uiPriority w:val="0"/>
    <w:pPr>
      <w:keepNext/>
      <w:keepLines/>
      <w:spacing w:before="260" w:after="260" w:line="415" w:lineRule="auto"/>
      <w:outlineLvl w:val="1"/>
    </w:pPr>
    <w:rPr>
      <w:rFonts w:eastAsia="黑体"/>
      <w:b/>
      <w:sz w:val="32"/>
    </w:rPr>
  </w:style>
  <w:style w:type="paragraph" w:styleId="4">
    <w:name w:val="heading 3"/>
    <w:basedOn w:val="1"/>
    <w:next w:val="1"/>
    <w:autoRedefine/>
    <w:qFormat/>
    <w:uiPriority w:val="0"/>
    <w:pPr>
      <w:keepNext/>
      <w:keepLines/>
      <w:spacing w:before="260" w:after="260" w:line="415" w:lineRule="auto"/>
      <w:outlineLvl w:val="2"/>
    </w:pPr>
    <w:rPr>
      <w:b/>
      <w:sz w:val="32"/>
      <w:szCs w:val="20"/>
    </w:rPr>
  </w:style>
  <w:style w:type="character" w:default="1" w:styleId="25">
    <w:name w:val="Default Paragraph Font"/>
    <w:autoRedefine/>
    <w:semiHidden/>
    <w:unhideWhenUsed/>
    <w:qFormat/>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5">
    <w:name w:val="Normal Indent"/>
    <w:basedOn w:val="1"/>
    <w:qFormat/>
    <w:uiPriority w:val="0"/>
    <w:pPr>
      <w:ind w:firstLine="200" w:firstLineChars="200"/>
    </w:pPr>
  </w:style>
  <w:style w:type="paragraph" w:styleId="6">
    <w:name w:val="Document Map"/>
    <w:basedOn w:val="1"/>
    <w:autoRedefine/>
    <w:qFormat/>
    <w:uiPriority w:val="0"/>
    <w:rPr>
      <w:rFonts w:ascii="宋体"/>
      <w:sz w:val="18"/>
      <w:szCs w:val="20"/>
    </w:rPr>
  </w:style>
  <w:style w:type="paragraph" w:styleId="7">
    <w:name w:val="annotation text"/>
    <w:basedOn w:val="1"/>
    <w:qFormat/>
    <w:locked/>
    <w:uiPriority w:val="0"/>
    <w:pPr>
      <w:jc w:val="left"/>
    </w:pPr>
  </w:style>
  <w:style w:type="paragraph" w:styleId="8">
    <w:name w:val="Body Text 3"/>
    <w:basedOn w:val="1"/>
    <w:qFormat/>
    <w:uiPriority w:val="0"/>
    <w:pPr>
      <w:spacing w:after="120"/>
    </w:pPr>
    <w:rPr>
      <w:kern w:val="0"/>
      <w:sz w:val="16"/>
      <w:szCs w:val="20"/>
    </w:rPr>
  </w:style>
  <w:style w:type="paragraph" w:styleId="9">
    <w:name w:val="Body Text"/>
    <w:basedOn w:val="1"/>
    <w:autoRedefine/>
    <w:qFormat/>
    <w:uiPriority w:val="0"/>
    <w:pPr>
      <w:spacing w:after="120"/>
    </w:pPr>
    <w:rPr>
      <w:kern w:val="0"/>
      <w:sz w:val="24"/>
      <w:szCs w:val="20"/>
    </w:rPr>
  </w:style>
  <w:style w:type="paragraph" w:styleId="10">
    <w:name w:val="Body Text Indent"/>
    <w:basedOn w:val="1"/>
    <w:qFormat/>
    <w:uiPriority w:val="0"/>
    <w:pPr>
      <w:autoSpaceDE w:val="0"/>
      <w:autoSpaceDN w:val="0"/>
      <w:adjustRightInd w:val="0"/>
      <w:ind w:firstLine="225" w:firstLineChars="225"/>
    </w:pPr>
    <w:rPr>
      <w:kern w:val="0"/>
      <w:sz w:val="24"/>
      <w:szCs w:val="20"/>
    </w:rPr>
  </w:style>
  <w:style w:type="paragraph" w:styleId="11">
    <w:name w:val="Plain Text"/>
    <w:basedOn w:val="1"/>
    <w:qFormat/>
    <w:uiPriority w:val="0"/>
    <w:pPr>
      <w:widowControl/>
      <w:spacing w:before="100" w:beforeAutospacing="1" w:after="100" w:afterAutospacing="1"/>
      <w:jc w:val="left"/>
    </w:pPr>
    <w:rPr>
      <w:rFonts w:ascii="宋体"/>
      <w:kern w:val="0"/>
      <w:sz w:val="24"/>
      <w:szCs w:val="20"/>
    </w:rPr>
  </w:style>
  <w:style w:type="paragraph" w:styleId="12">
    <w:name w:val="Date"/>
    <w:basedOn w:val="1"/>
    <w:next w:val="1"/>
    <w:autoRedefine/>
    <w:qFormat/>
    <w:uiPriority w:val="0"/>
    <w:pPr>
      <w:spacing w:before="100" w:beforeAutospacing="1" w:after="100" w:afterAutospacing="1" w:line="240" w:lineRule="atLeast"/>
      <w:ind w:left="2500" w:leftChars="2500" w:firstLine="200" w:firstLineChars="200"/>
    </w:pPr>
    <w:rPr>
      <w:rFonts w:ascii="Calibri" w:hAnsi="Calibri"/>
      <w:szCs w:val="20"/>
    </w:rPr>
  </w:style>
  <w:style w:type="paragraph" w:styleId="13">
    <w:name w:val="Body Text Indent 2"/>
    <w:basedOn w:val="1"/>
    <w:qFormat/>
    <w:uiPriority w:val="0"/>
    <w:pPr>
      <w:spacing w:after="120" w:line="480" w:lineRule="auto"/>
      <w:ind w:left="200" w:leftChars="200"/>
    </w:pPr>
    <w:rPr>
      <w:kern w:val="0"/>
      <w:sz w:val="24"/>
      <w:szCs w:val="20"/>
    </w:rPr>
  </w:style>
  <w:style w:type="paragraph" w:styleId="14">
    <w:name w:val="Balloon Text"/>
    <w:basedOn w:val="1"/>
    <w:qFormat/>
    <w:uiPriority w:val="0"/>
    <w:rPr>
      <w:kern w:val="0"/>
      <w:sz w:val="2"/>
      <w:szCs w:val="20"/>
    </w:rPr>
  </w:style>
  <w:style w:type="paragraph" w:styleId="15">
    <w:name w:val="footer"/>
    <w:basedOn w:val="1"/>
    <w:qFormat/>
    <w:uiPriority w:val="0"/>
    <w:pPr>
      <w:tabs>
        <w:tab w:val="center" w:pos="4153"/>
        <w:tab w:val="right" w:pos="8306"/>
      </w:tabs>
      <w:snapToGrid w:val="0"/>
      <w:jc w:val="left"/>
    </w:pPr>
    <w:rPr>
      <w:sz w:val="18"/>
      <w:szCs w:val="20"/>
    </w:rPr>
  </w:style>
  <w:style w:type="paragraph" w:styleId="16">
    <w:name w:val="header"/>
    <w:basedOn w:val="1"/>
    <w:autoRedefine/>
    <w:qFormat/>
    <w:uiPriority w:val="0"/>
    <w:pPr>
      <w:pBdr>
        <w:bottom w:val="single" w:color="auto" w:sz="6" w:space="1"/>
      </w:pBdr>
      <w:tabs>
        <w:tab w:val="center" w:pos="4153"/>
        <w:tab w:val="right" w:pos="8306"/>
      </w:tabs>
      <w:snapToGrid w:val="0"/>
      <w:jc w:val="center"/>
    </w:pPr>
    <w:rPr>
      <w:sz w:val="18"/>
      <w:szCs w:val="20"/>
    </w:rPr>
  </w:style>
  <w:style w:type="paragraph" w:styleId="17">
    <w:name w:val="toc 1"/>
    <w:basedOn w:val="1"/>
    <w:next w:val="1"/>
    <w:qFormat/>
    <w:uiPriority w:val="0"/>
  </w:style>
  <w:style w:type="paragraph" w:styleId="18">
    <w:name w:val="Subtitle"/>
    <w:basedOn w:val="1"/>
    <w:next w:val="1"/>
    <w:qFormat/>
    <w:uiPriority w:val="0"/>
    <w:pPr>
      <w:spacing w:before="240" w:after="60" w:line="312" w:lineRule="auto"/>
      <w:jc w:val="center"/>
      <w:outlineLvl w:val="1"/>
    </w:pPr>
    <w:rPr>
      <w:rFonts w:ascii="等线 Light" w:eastAsia="等线 Light"/>
      <w:b/>
      <w:kern w:val="28"/>
      <w:sz w:val="32"/>
      <w:szCs w:val="20"/>
    </w:rPr>
  </w:style>
  <w:style w:type="paragraph" w:styleId="19">
    <w:name w:val="toc 2"/>
    <w:basedOn w:val="1"/>
    <w:next w:val="1"/>
    <w:autoRedefine/>
    <w:qFormat/>
    <w:uiPriority w:val="0"/>
    <w:pPr>
      <w:ind w:left="200" w:leftChars="200"/>
    </w:pPr>
  </w:style>
  <w:style w:type="paragraph" w:styleId="20">
    <w:name w:val="Body Text 2"/>
    <w:basedOn w:val="1"/>
    <w:qFormat/>
    <w:uiPriority w:val="0"/>
    <w:pPr>
      <w:spacing w:after="120" w:line="480" w:lineRule="auto"/>
    </w:pPr>
    <w:rPr>
      <w:kern w:val="0"/>
      <w:sz w:val="24"/>
      <w:szCs w:val="20"/>
    </w:rPr>
  </w:style>
  <w:style w:type="paragraph" w:styleId="21">
    <w:name w:val="Normal (Web)"/>
    <w:basedOn w:val="1"/>
    <w:qFormat/>
    <w:locked/>
    <w:uiPriority w:val="0"/>
    <w:pPr>
      <w:spacing w:beforeAutospacing="1" w:afterAutospacing="1"/>
      <w:jc w:val="left"/>
    </w:pPr>
    <w:rPr>
      <w:kern w:val="0"/>
      <w:sz w:val="24"/>
    </w:rPr>
  </w:style>
  <w:style w:type="paragraph" w:styleId="22">
    <w:name w:val="Title"/>
    <w:basedOn w:val="1"/>
    <w:next w:val="1"/>
    <w:qFormat/>
    <w:uiPriority w:val="0"/>
    <w:pPr>
      <w:spacing w:before="240" w:after="60"/>
      <w:jc w:val="center"/>
      <w:outlineLvl w:val="0"/>
    </w:pPr>
    <w:rPr>
      <w:rFonts w:ascii="等线 Light" w:eastAsia="等线 Light"/>
      <w:b/>
      <w:sz w:val="32"/>
      <w:szCs w:val="20"/>
    </w:rPr>
  </w:style>
  <w:style w:type="table" w:styleId="24">
    <w:name w:val="Table Grid"/>
    <w:basedOn w:val="23"/>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rFonts w:cs="Times New Roman"/>
      <w:b/>
    </w:rPr>
  </w:style>
  <w:style w:type="character" w:styleId="27">
    <w:name w:val="page number"/>
    <w:qFormat/>
    <w:uiPriority w:val="0"/>
    <w:rPr>
      <w:rFonts w:cs="Times New Roman"/>
    </w:rPr>
  </w:style>
  <w:style w:type="character" w:styleId="28">
    <w:name w:val="Hyperlink"/>
    <w:qFormat/>
    <w:uiPriority w:val="0"/>
    <w:rPr>
      <w:rFonts w:cs="Times New Roman"/>
      <w:color w:val="0563C1"/>
      <w:u w:val="single"/>
    </w:rPr>
  </w:style>
  <w:style w:type="character" w:customStyle="1" w:styleId="29">
    <w:name w:val="Body Text 3 Char"/>
    <w:qFormat/>
    <w:locked/>
    <w:uiPriority w:val="0"/>
    <w:rPr>
      <w:rFonts w:cs="Times New Roman"/>
      <w:kern w:val="2"/>
      <w:sz w:val="16"/>
    </w:rPr>
  </w:style>
  <w:style w:type="character" w:customStyle="1" w:styleId="30">
    <w:name w:val="Body Text Char"/>
    <w:qFormat/>
    <w:locked/>
    <w:uiPriority w:val="0"/>
    <w:rPr>
      <w:rFonts w:cs="Times New Roman"/>
      <w:kern w:val="2"/>
      <w:sz w:val="24"/>
    </w:rPr>
  </w:style>
  <w:style w:type="character" w:customStyle="1" w:styleId="31">
    <w:name w:val="Body Text Indent Char"/>
    <w:qFormat/>
    <w:locked/>
    <w:uiPriority w:val="0"/>
    <w:rPr>
      <w:rFonts w:ascii="宋体" w:cs="Times New Roman"/>
      <w:color w:val="000000"/>
      <w:sz w:val="21"/>
      <w:lang w:val="zh-CN"/>
    </w:rPr>
  </w:style>
  <w:style w:type="character" w:customStyle="1" w:styleId="32">
    <w:name w:val="Body Text Indent 2 Char"/>
    <w:qFormat/>
    <w:locked/>
    <w:uiPriority w:val="0"/>
    <w:rPr>
      <w:rFonts w:cs="Times New Roman"/>
      <w:kern w:val="2"/>
      <w:sz w:val="24"/>
    </w:rPr>
  </w:style>
  <w:style w:type="character" w:customStyle="1" w:styleId="33">
    <w:name w:val="Balloon Text Char"/>
    <w:qFormat/>
    <w:locked/>
    <w:uiPriority w:val="0"/>
    <w:rPr>
      <w:rFonts w:cs="Times New Roman"/>
      <w:kern w:val="2"/>
      <w:sz w:val="18"/>
    </w:rPr>
  </w:style>
  <w:style w:type="character" w:customStyle="1" w:styleId="34">
    <w:name w:val="Body Text 2 Char"/>
    <w:qFormat/>
    <w:locked/>
    <w:uiPriority w:val="0"/>
    <w:rPr>
      <w:rFonts w:cs="Times New Roman"/>
      <w:kern w:val="2"/>
      <w:sz w:val="24"/>
    </w:rPr>
  </w:style>
  <w:style w:type="character" w:customStyle="1" w:styleId="35">
    <w:name w:val="标题 3 Char Char Char Char Char Char Char Char Char Char Char Char Char Char Char Char Char Char Char"/>
    <w:autoRedefine/>
    <w:qFormat/>
    <w:uiPriority w:val="0"/>
    <w:rPr>
      <w:rFonts w:ascii="宋体" w:eastAsia="宋体"/>
      <w:b/>
      <w:kern w:val="2"/>
      <w:sz w:val="32"/>
      <w:lang w:val="en-US" w:eastAsia="zh-CN"/>
    </w:rPr>
  </w:style>
  <w:style w:type="character" w:customStyle="1" w:styleId="36">
    <w:name w:val="_copr1"/>
    <w:qFormat/>
    <w:uiPriority w:val="0"/>
    <w:rPr>
      <w:vanish/>
    </w:rPr>
  </w:style>
  <w:style w:type="paragraph" w:customStyle="1" w:styleId="37">
    <w:name w:val="无间隔1"/>
    <w:qFormat/>
    <w:uiPriority w:val="0"/>
    <w:pPr>
      <w:widowControl w:val="0"/>
      <w:spacing w:beforeAutospacing="1" w:afterAutospacing="1"/>
      <w:ind w:firstLine="200" w:firstLineChars="200"/>
      <w:jc w:val="both"/>
    </w:pPr>
    <w:rPr>
      <w:rFonts w:ascii="Calibri" w:hAnsi="Calibri" w:eastAsia="宋体" w:cs="Times New Roman"/>
      <w:kern w:val="2"/>
      <w:sz w:val="22"/>
      <w:szCs w:val="22"/>
      <w:lang w:val="en-US" w:eastAsia="zh-CN" w:bidi="ar-SA"/>
    </w:rPr>
  </w:style>
  <w:style w:type="paragraph" w:customStyle="1" w:styleId="38">
    <w:name w:val="列出段落1"/>
    <w:basedOn w:val="1"/>
    <w:qFormat/>
    <w:uiPriority w:val="0"/>
    <w:pPr>
      <w:widowControl/>
      <w:ind w:left="720" w:firstLine="360"/>
      <w:contextualSpacing/>
      <w:jc w:val="left"/>
    </w:pPr>
    <w:rPr>
      <w:rFonts w:ascii="Calibri" w:hAnsi="Calibri"/>
      <w:kern w:val="0"/>
      <w:sz w:val="22"/>
      <w:szCs w:val="22"/>
    </w:rPr>
  </w:style>
  <w:style w:type="paragraph" w:customStyle="1" w:styleId="39">
    <w:name w:val="List Paragraph1"/>
    <w:basedOn w:val="1"/>
    <w:qFormat/>
    <w:uiPriority w:val="0"/>
    <w:pPr>
      <w:ind w:firstLine="200" w:firstLineChars="200"/>
    </w:pPr>
    <w:rPr>
      <w:rFonts w:ascii="Calibri" w:hAnsi="Calibri"/>
      <w:szCs w:val="22"/>
    </w:rPr>
  </w:style>
  <w:style w:type="character" w:customStyle="1" w:styleId="40">
    <w:name w:val="页眉 字符"/>
    <w:qFormat/>
    <w:uiPriority w:val="0"/>
  </w:style>
  <w:style w:type="character" w:customStyle="1" w:styleId="41">
    <w:name w:val="页脚 字符"/>
    <w:qFormat/>
    <w:uiPriority w:val="0"/>
  </w:style>
  <w:style w:type="paragraph" w:customStyle="1" w:styleId="42">
    <w:name w:val="TOC 标题1"/>
    <w:basedOn w:val="2"/>
    <w:next w:val="1"/>
    <w:autoRedefine/>
    <w:qFormat/>
    <w:uiPriority w:val="0"/>
    <w:pPr>
      <w:keepNext/>
      <w:keepLines/>
      <w:spacing w:before="240" w:beforeAutospacing="0" w:after="0" w:afterAutospacing="0" w:line="259" w:lineRule="auto"/>
      <w:jc w:val="left"/>
      <w:outlineLvl w:val="9"/>
    </w:pPr>
    <w:rPr>
      <w:rFonts w:ascii="等线 Light" w:eastAsia="等线 Light"/>
      <w:b/>
      <w:color w:val="2F5496"/>
      <w:kern w:val="0"/>
      <w:szCs w:val="32"/>
    </w:rPr>
  </w:style>
  <w:style w:type="paragraph" w:customStyle="1" w:styleId="43">
    <w:name w:val="List Paragraph11"/>
    <w:basedOn w:val="1"/>
    <w:autoRedefine/>
    <w:qFormat/>
    <w:uiPriority w:val="0"/>
    <w:pPr>
      <w:ind w:firstLine="200" w:firstLineChars="200"/>
    </w:pPr>
    <w:rPr>
      <w:rFonts w:ascii="Calibri" w:hAnsi="Calibri"/>
      <w:szCs w:val="22"/>
    </w:rPr>
  </w:style>
  <w:style w:type="paragraph" w:customStyle="1" w:styleId="44">
    <w:name w:val="样式 正文缩进正文（首行缩进两字）首行缩进两字identication正文1正文缩进1正文（首行缩进两字）1ide...1"/>
    <w:basedOn w:val="5"/>
    <w:autoRedefine/>
    <w:qFormat/>
    <w:uiPriority w:val="0"/>
    <w:pPr>
      <w:spacing w:line="360" w:lineRule="auto"/>
      <w:ind w:left="181" w:leftChars="181" w:right="278" w:firstLine="0" w:firstLineChars="0"/>
    </w:pPr>
    <w:rPr>
      <w:kern w:val="0"/>
      <w:sz w:val="24"/>
      <w:szCs w:val="20"/>
    </w:rPr>
  </w:style>
  <w:style w:type="paragraph" w:customStyle="1" w:styleId="45">
    <w:name w:val="Char Char Char"/>
    <w:basedOn w:val="1"/>
    <w:autoRedefine/>
    <w:qFormat/>
    <w:uiPriority w:val="0"/>
    <w:pPr>
      <w:widowControl/>
      <w:tabs>
        <w:tab w:val="left" w:pos="360"/>
      </w:tabs>
      <w:jc w:val="left"/>
    </w:pPr>
    <w:rPr>
      <w:szCs w:val="20"/>
    </w:rPr>
  </w:style>
  <w:style w:type="character" w:customStyle="1" w:styleId="46">
    <w:name w:val="font01"/>
    <w:basedOn w:val="25"/>
    <w:autoRedefine/>
    <w:qFormat/>
    <w:uiPriority w:val="0"/>
    <w:rPr>
      <w:rFonts w:ascii="宋体" w:eastAsia="宋体" w:cs="宋体"/>
      <w:color w:val="000000"/>
      <w:sz w:val="22"/>
      <w:szCs w:val="22"/>
      <w:u w:val="none"/>
    </w:rPr>
  </w:style>
  <w:style w:type="paragraph" w:styleId="47">
    <w:name w:val="List Paragraph"/>
    <w:basedOn w:val="1"/>
    <w:autoRedefine/>
    <w:qFormat/>
    <w:uiPriority w:val="34"/>
    <w:pPr>
      <w:ind w:firstLine="42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Pages>
  <Words>215</Words>
  <Characters>1229</Characters>
  <Lines>10</Lines>
  <Paragraphs>2</Paragraphs>
  <TotalTime>13</TotalTime>
  <ScaleCrop>false</ScaleCrop>
  <LinksUpToDate>false</LinksUpToDate>
  <CharactersWithSpaces>1442</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2018-06-25T02:47:00Z</dcterms:created>
  <dc:creator>VAIO</dc:creator>
  <cp:lastModifiedBy>69+顺其自然</cp:lastModifiedBy>
  <cp:lastPrinted>2019-10-22T00:50:00Z</cp:lastPrinted>
  <dcterms:modified xsi:type="dcterms:W3CDTF">2024-07-08T00:22:42Z</dcterms:modified>
  <dc:title>关于对徐州天成国贸二期建筑安装工程王世敏施工部分</dc:title>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4B41DA8EF968433A854BBA899AED0603</vt:lpwstr>
  </property>
</Properties>
</file>