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宋体"/>
          <w:b/>
          <w:sz w:val="36"/>
          <w:szCs w:val="36"/>
        </w:rPr>
      </w:pPr>
      <w:r>
        <w:rPr>
          <w:rFonts w:hint="eastAsia" w:ascii="宋体"/>
          <w:b/>
          <w:sz w:val="36"/>
          <w:szCs w:val="36"/>
        </w:rPr>
        <w:t>控制价编制说明</w:t>
      </w:r>
    </w:p>
    <w:p>
      <w:pPr>
        <w:rPr>
          <w:rFonts w:ascii="宋体"/>
          <w:szCs w:val="21"/>
        </w:rPr>
      </w:pPr>
    </w:p>
    <w:p>
      <w:pPr>
        <w:spacing w:line="400" w:lineRule="exact"/>
        <w:rPr>
          <w:rFonts w:ascii="宋体"/>
          <w:szCs w:val="21"/>
        </w:rPr>
      </w:pPr>
      <w:r>
        <w:rPr>
          <w:rFonts w:hint="eastAsia" w:ascii="宋体"/>
          <w:szCs w:val="21"/>
        </w:rPr>
        <w:t>工程名称：</w:t>
      </w:r>
      <w:r>
        <w:rPr>
          <w:rFonts w:hint="eastAsia" w:ascii="宋体"/>
          <w:szCs w:val="21"/>
          <w:lang w:eastAsia="zh-CN"/>
        </w:rPr>
        <w:t>南京大厂九村幼儿园文承苑分园</w:t>
      </w:r>
      <w:r>
        <w:rPr>
          <w:rFonts w:hint="eastAsia" w:ascii="宋体"/>
          <w:szCs w:val="21"/>
        </w:rPr>
        <w:t>2024年暑期维修工程</w:t>
      </w:r>
    </w:p>
    <w:tbl>
      <w:tblPr>
        <w:tblStyle w:val="22"/>
        <w:tblW w:w="88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8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auto"/>
              <w:ind w:firstLine="420" w:firstLineChars="200"/>
              <w:rPr>
                <w:rFonts w:ascii="宋体"/>
                <w:b w:val="0"/>
                <w:bCs/>
                <w:szCs w:val="21"/>
              </w:rPr>
            </w:pPr>
            <w:r>
              <w:rPr>
                <w:rFonts w:hint="eastAsia" w:ascii="宋体"/>
                <w:b w:val="0"/>
                <w:bCs/>
                <w:szCs w:val="21"/>
              </w:rPr>
              <w:t>一、工程概况：</w:t>
            </w:r>
          </w:p>
          <w:p>
            <w:pPr>
              <w:pStyle w:val="10"/>
              <w:adjustRightInd w:val="0"/>
              <w:snapToGrid w:val="0"/>
              <w:spacing w:line="360" w:lineRule="auto"/>
              <w:ind w:firstLine="630" w:firstLineChars="300"/>
              <w:jc w:val="both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本项目地址位于</w:t>
            </w:r>
            <w:r>
              <w:rPr>
                <w:rFonts w:hint="eastAsia" w:cs="Times New Roman"/>
                <w:kern w:val="2"/>
                <w:sz w:val="21"/>
                <w:szCs w:val="21"/>
                <w:lang w:val="en-US" w:eastAsia="zh-CN" w:bidi="ar-SA"/>
              </w:rPr>
              <w:t>江</w:t>
            </w:r>
            <w:r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苏省南京市六合区葛中路480号。</w:t>
            </w:r>
          </w:p>
          <w:p>
            <w:pPr>
              <w:spacing w:line="400" w:lineRule="exact"/>
              <w:ind w:firstLine="840" w:firstLineChars="400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本次项目主要为</w:t>
            </w:r>
            <w:r>
              <w:rPr>
                <w:rFonts w:hint="eastAsia" w:ascii="宋体"/>
                <w:szCs w:val="21"/>
                <w:lang w:eastAsia="zh-CN"/>
              </w:rPr>
              <w:t>文承苑分园</w:t>
            </w:r>
            <w:r>
              <w:rPr>
                <w:rFonts w:hint="eastAsia" w:ascii="宋体"/>
                <w:szCs w:val="21"/>
              </w:rPr>
              <w:t>2024年暑期维修工程，含</w:t>
            </w:r>
            <w:r>
              <w:rPr>
                <w:rFonts w:hint="eastAsia"/>
                <w:szCs w:val="21"/>
                <w:lang w:eastAsia="zh-CN"/>
              </w:rPr>
              <w:t>教学楼以及门卫室外墙出新、教学楼楼顶屋面防水工程</w:t>
            </w:r>
            <w:r>
              <w:rPr>
                <w:rFonts w:hint="eastAsia" w:ascii="宋体"/>
                <w:szCs w:val="21"/>
              </w:rPr>
              <w:t>。</w:t>
            </w:r>
          </w:p>
          <w:p>
            <w:pPr>
              <w:pStyle w:val="10"/>
              <w:adjustRightInd w:val="0"/>
              <w:snapToGrid w:val="0"/>
              <w:spacing w:line="360" w:lineRule="auto"/>
              <w:ind w:firstLine="482" w:firstLineChars="200"/>
              <w:jc w:val="both"/>
              <w:rPr>
                <w:rFonts w:ascii="宋体"/>
                <w:b/>
                <w:szCs w:val="21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二</w:t>
            </w:r>
            <w:r>
              <w:rPr>
                <w:rFonts w:hint="eastAsia" w:ascii="宋体"/>
                <w:b/>
                <w:szCs w:val="21"/>
              </w:rPr>
              <w:t>、编制依据：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1、南京</w:t>
            </w:r>
            <w:r>
              <w:rPr>
                <w:rFonts w:hint="eastAsia" w:ascii="宋体"/>
                <w:szCs w:val="21"/>
                <w:lang w:eastAsia="zh-CN"/>
              </w:rPr>
              <w:t>大厂九幼幼儿园</w:t>
            </w:r>
            <w:r>
              <w:rPr>
                <w:rFonts w:hint="eastAsia" w:ascii="宋体"/>
                <w:szCs w:val="21"/>
              </w:rPr>
              <w:t>确认的《</w:t>
            </w:r>
            <w:r>
              <w:rPr>
                <w:rFonts w:hint="eastAsia" w:ascii="宋体"/>
                <w:szCs w:val="21"/>
                <w:lang w:eastAsia="zh-CN"/>
              </w:rPr>
              <w:t>南京大厂九幼（自筹）维修项目计划</w:t>
            </w:r>
            <w:r>
              <w:rPr>
                <w:rFonts w:hint="eastAsia" w:ascii="宋体"/>
                <w:szCs w:val="21"/>
              </w:rPr>
              <w:t>》</w:t>
            </w:r>
            <w:r>
              <w:rPr>
                <w:rFonts w:hint="eastAsia" w:ascii="宋体"/>
                <w:szCs w:val="21"/>
                <w:lang w:eastAsia="zh-CN"/>
              </w:rPr>
              <w:t>清单</w:t>
            </w:r>
            <w:r>
              <w:rPr>
                <w:rFonts w:hint="eastAsia" w:ascii="宋体"/>
                <w:szCs w:val="21"/>
              </w:rPr>
              <w:t>；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2、《建设工程工程量清单计价规范》GB50500-2013及《房屋建筑与装饰工程工程量计算规范》GB50854-2013等9本工程量计算规范；</w:t>
            </w:r>
          </w:p>
          <w:p>
            <w:pPr>
              <w:spacing w:line="360" w:lineRule="auto"/>
              <w:ind w:left="42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3</w:t>
            </w:r>
            <w:r>
              <w:rPr>
                <w:rFonts w:hint="eastAsia" w:ascii="宋体"/>
                <w:szCs w:val="21"/>
              </w:rPr>
              <w:t>、招标文件、工程量清单；</w:t>
            </w:r>
          </w:p>
          <w:p>
            <w:pPr>
              <w:spacing w:line="360" w:lineRule="auto"/>
              <w:ind w:left="42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4</w:t>
            </w:r>
            <w:r>
              <w:rPr>
                <w:rFonts w:hint="eastAsia" w:ascii="宋体"/>
                <w:szCs w:val="21"/>
              </w:rPr>
              <w:t>、《建设工程工程量清单计价规范》GB50500-2013及《房屋建筑与装饰工程工程量计算规范》GB50854-2013等9本工程量计算规范；</w:t>
            </w:r>
          </w:p>
          <w:p>
            <w:pPr>
              <w:spacing w:line="360" w:lineRule="auto"/>
              <w:ind w:left="420"/>
              <w:jc w:val="left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4</w:t>
            </w:r>
            <w:r>
              <w:rPr>
                <w:rFonts w:hint="eastAsia" w:ascii="宋体"/>
                <w:szCs w:val="21"/>
              </w:rPr>
              <w:t>、江苏省及南京市发布的有关造价文件；</w:t>
            </w:r>
          </w:p>
          <w:p>
            <w:pPr>
              <w:spacing w:line="360" w:lineRule="auto"/>
              <w:ind w:left="420"/>
              <w:jc w:val="left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5</w:t>
            </w:r>
            <w:r>
              <w:rPr>
                <w:rFonts w:hint="eastAsia" w:ascii="宋体"/>
                <w:szCs w:val="21"/>
              </w:rPr>
              <w:t>、人工指导价按苏建函价〔202</w:t>
            </w:r>
            <w:r>
              <w:rPr>
                <w:rFonts w:ascii="宋体"/>
                <w:szCs w:val="21"/>
              </w:rPr>
              <w:t>4</w:t>
            </w:r>
            <w:r>
              <w:rPr>
                <w:rFonts w:hint="eastAsia" w:ascii="宋体"/>
                <w:szCs w:val="21"/>
              </w:rPr>
              <w:t>〕</w:t>
            </w:r>
            <w:r>
              <w:rPr>
                <w:rFonts w:ascii="宋体"/>
                <w:szCs w:val="21"/>
              </w:rPr>
              <w:t>8</w:t>
            </w:r>
            <w:r>
              <w:rPr>
                <w:rFonts w:hint="eastAsia" w:ascii="宋体"/>
                <w:szCs w:val="21"/>
              </w:rPr>
              <w:t>3号（202</w:t>
            </w:r>
            <w:r>
              <w:rPr>
                <w:rFonts w:ascii="宋体"/>
                <w:szCs w:val="21"/>
              </w:rPr>
              <w:t>4</w:t>
            </w:r>
            <w:r>
              <w:rPr>
                <w:rFonts w:hint="eastAsia" w:ascii="宋体"/>
                <w:szCs w:val="21"/>
              </w:rPr>
              <w:t>年3月1日执行）人工费调整文件计取；</w:t>
            </w:r>
          </w:p>
          <w:p>
            <w:pPr>
              <w:spacing w:line="360" w:lineRule="auto"/>
              <w:ind w:left="420"/>
              <w:jc w:val="left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6</w:t>
            </w:r>
            <w:r>
              <w:rPr>
                <w:rFonts w:hint="eastAsia" w:ascii="宋体"/>
                <w:szCs w:val="21"/>
              </w:rPr>
              <w:t>、材料单价按《南京工程造价管理》（202</w:t>
            </w:r>
            <w:r>
              <w:rPr>
                <w:rFonts w:ascii="宋体"/>
                <w:szCs w:val="21"/>
              </w:rPr>
              <w:t>4</w:t>
            </w:r>
            <w:r>
              <w:rPr>
                <w:rFonts w:hint="eastAsia" w:ascii="宋体"/>
                <w:szCs w:val="21"/>
              </w:rPr>
              <w:t>年</w:t>
            </w:r>
            <w:r>
              <w:rPr>
                <w:rFonts w:hint="eastAsia" w:ascii="宋体"/>
                <w:szCs w:val="21"/>
                <w:lang w:val="en-US" w:eastAsia="zh-CN"/>
              </w:rPr>
              <w:t>6</w:t>
            </w:r>
            <w:r>
              <w:rPr>
                <w:rFonts w:hint="eastAsia" w:ascii="宋体"/>
                <w:szCs w:val="21"/>
              </w:rPr>
              <w:t>月）信息价计取。信息价中没有的按市场价询入。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7</w:t>
            </w:r>
            <w:r>
              <w:rPr>
                <w:rFonts w:hint="eastAsia" w:ascii="宋体"/>
                <w:szCs w:val="21"/>
              </w:rPr>
              <w:t>、措施费用、其他费用的计取按常规方案及现行的造价文件；</w:t>
            </w:r>
          </w:p>
          <w:p>
            <w:pPr>
              <w:spacing w:line="400" w:lineRule="exact"/>
              <w:ind w:firstLine="422" w:firstLineChars="200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三、暂列金额：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1、暂列金额：按分部分项工程费的</w:t>
            </w:r>
            <w:r>
              <w:rPr>
                <w:rFonts w:hint="eastAsia" w:ascii="宋体"/>
                <w:szCs w:val="21"/>
                <w:lang w:val="en-US" w:eastAsia="zh-CN"/>
              </w:rPr>
              <w:t>5</w:t>
            </w:r>
            <w:r>
              <w:rPr>
                <w:rFonts w:ascii="宋体"/>
                <w:szCs w:val="21"/>
              </w:rPr>
              <w:t>%</w:t>
            </w:r>
            <w:r>
              <w:rPr>
                <w:rFonts w:hint="eastAsia" w:ascii="宋体"/>
                <w:szCs w:val="21"/>
              </w:rPr>
              <w:t>计取。</w:t>
            </w:r>
          </w:p>
          <w:p>
            <w:pPr>
              <w:spacing w:line="400" w:lineRule="exact"/>
              <w:ind w:firstLine="422" w:firstLineChars="200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四、专业工程暂估价、总承包服务费：</w:t>
            </w:r>
          </w:p>
          <w:p>
            <w:pPr>
              <w:pStyle w:val="42"/>
              <w:numPr>
                <w:ilvl w:val="0"/>
                <w:numId w:val="1"/>
              </w:numPr>
              <w:spacing w:line="400" w:lineRule="exact"/>
              <w:ind w:firstLineChars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暂估价：无。</w:t>
            </w:r>
          </w:p>
          <w:p>
            <w:pPr>
              <w:pStyle w:val="42"/>
              <w:numPr>
                <w:ilvl w:val="0"/>
                <w:numId w:val="1"/>
              </w:numPr>
              <w:spacing w:line="400" w:lineRule="exact"/>
              <w:ind w:firstLineChars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总承包服务费：无。</w:t>
            </w:r>
          </w:p>
          <w:p>
            <w:pPr>
              <w:spacing w:line="360" w:lineRule="auto"/>
              <w:ind w:firstLine="422" w:firstLineChars="200"/>
              <w:jc w:val="left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五、控制价说明：</w:t>
            </w:r>
          </w:p>
          <w:p>
            <w:pPr>
              <w:spacing w:line="360" w:lineRule="auto"/>
              <w:ind w:left="42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1、本项目工程类别及取费：执行江苏省建设工程费用定额（2014年）、《关于建筑业实施营改增后江苏省建设工程计价依据调整的通知》（苏建价(2016)154 号)、及其他现行计价文件；</w:t>
            </w:r>
          </w:p>
          <w:p>
            <w:pPr>
              <w:spacing w:line="360" w:lineRule="auto"/>
              <w:ind w:left="42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2、总价措施费计取了安全文明施工费、扬尘污染防治增加费、临时设施。</w:t>
            </w:r>
          </w:p>
          <w:p>
            <w:pPr>
              <w:spacing w:line="360" w:lineRule="auto"/>
              <w:ind w:left="42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3、脚手架、大型机械进退场等单价措施费，根据现场情况，综合考虑计取。</w:t>
            </w:r>
          </w:p>
          <w:p>
            <w:pPr>
              <w:spacing w:line="360" w:lineRule="auto"/>
              <w:ind w:left="42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4、税金税率按9%计取。</w:t>
            </w:r>
          </w:p>
          <w:p>
            <w:pPr>
              <w:spacing w:line="360" w:lineRule="auto"/>
              <w:ind w:firstLine="422" w:firstLineChars="200"/>
              <w:jc w:val="left"/>
              <w:rPr>
                <w:rFonts w:hint="eastAsia" w:ascii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bCs/>
                <w:szCs w:val="21"/>
              </w:rPr>
              <w:t>六、其它说明：</w:t>
            </w:r>
            <w:r>
              <w:rPr>
                <w:rFonts w:hint="eastAsia" w:ascii="宋体"/>
                <w:b/>
                <w:bCs/>
                <w:szCs w:val="21"/>
                <w:lang w:val="en-US" w:eastAsia="zh-CN"/>
              </w:rPr>
              <w:t xml:space="preserve"> </w:t>
            </w:r>
          </w:p>
          <w:p>
            <w:pPr>
              <w:spacing w:line="360" w:lineRule="auto"/>
              <w:ind w:firstLine="632" w:firstLineChars="30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  <w:lang w:val="en-US" w:eastAsia="zh-CN"/>
              </w:rPr>
              <w:t>材料品牌及规格要求：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eastAsia" w:ascii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1、真石漆、外墙乳胶漆：  选用三棵树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eastAsia" w:ascii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2、内墙乳胶漆：  选用立邦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eastAsia" w:ascii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3、石      材：  选用华辉、环球石材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eastAsia" w:ascii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4、墙  地  砖：  选用：箭牌、冠珠、东鹏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default" w:ascii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5、地      板:   选用圣象、大自然、科华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6、防水材料：   选用东方雨虹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7、铝合金型材：凤铝、明宇、伟昌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8、PVC地胶：选用金鼠石地板、大巨龙、LG haulsys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eastAsia" w:ascii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9、铝扣板：   选用龙牌、友邦吊顶AUPU(奥普）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default" w:ascii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10、石膏板：  选用龙牌、杰森、泰山石膏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eastAsia" w:ascii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11、电气配管:  选用公元、康泰、联塑、鸿雁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eastAsia" w:ascii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12、电气配线：选用天诚、爱普华顿、远东、上上、江南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eastAsia" w:ascii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13、PVC给排水管件、管材：  公元、联塑、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eastAsia" w:ascii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14、灯具：   选用飞利浦、欧普、雷士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default" w:ascii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15、开关插座：选用正泰、德力西、公牛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ascii="宋体"/>
                <w:szCs w:val="21"/>
              </w:rPr>
            </w:pPr>
            <w:bookmarkStart w:id="0" w:name="_GoBack"/>
            <w:bookmarkEnd w:id="0"/>
          </w:p>
          <w:p>
            <w:pPr>
              <w:spacing w:line="360" w:lineRule="auto"/>
              <w:ind w:firstLine="420" w:firstLineChars="200"/>
              <w:jc w:val="left"/>
              <w:rPr>
                <w:rFonts w:ascii="宋体"/>
                <w:szCs w:val="21"/>
              </w:rPr>
            </w:pPr>
          </w:p>
          <w:p>
            <w:pPr>
              <w:spacing w:line="360" w:lineRule="auto"/>
              <w:ind w:firstLine="420" w:firstLineChars="200"/>
              <w:jc w:val="left"/>
              <w:rPr>
                <w:rFonts w:ascii="宋体"/>
                <w:szCs w:val="21"/>
              </w:rPr>
            </w:pPr>
          </w:p>
          <w:p>
            <w:pPr>
              <w:spacing w:line="360" w:lineRule="auto"/>
              <w:ind w:firstLine="420" w:firstLineChars="200"/>
              <w:jc w:val="left"/>
              <w:rPr>
                <w:rFonts w:ascii="宋体"/>
                <w:szCs w:val="21"/>
              </w:rPr>
            </w:pPr>
          </w:p>
          <w:p>
            <w:pPr>
              <w:spacing w:line="360" w:lineRule="auto"/>
              <w:ind w:firstLine="420" w:firstLineChars="200"/>
              <w:jc w:val="left"/>
              <w:rPr>
                <w:rFonts w:ascii="宋体"/>
                <w:szCs w:val="21"/>
              </w:rPr>
            </w:pPr>
          </w:p>
          <w:p>
            <w:pPr>
              <w:spacing w:line="360" w:lineRule="auto"/>
              <w:ind w:firstLine="420" w:firstLineChars="200"/>
              <w:jc w:val="left"/>
              <w:rPr>
                <w:rFonts w:ascii="宋体"/>
                <w:szCs w:val="21"/>
              </w:rPr>
            </w:pPr>
          </w:p>
          <w:p>
            <w:pPr>
              <w:spacing w:line="360" w:lineRule="auto"/>
              <w:ind w:firstLine="420" w:firstLineChars="200"/>
              <w:jc w:val="left"/>
              <w:rPr>
                <w:rFonts w:ascii="宋体"/>
                <w:szCs w:val="21"/>
              </w:rPr>
            </w:pPr>
          </w:p>
          <w:p>
            <w:pPr>
              <w:spacing w:line="360" w:lineRule="auto"/>
              <w:ind w:firstLine="420" w:firstLineChars="200"/>
              <w:jc w:val="left"/>
              <w:rPr>
                <w:rFonts w:ascii="宋体"/>
                <w:szCs w:val="21"/>
              </w:rPr>
            </w:pPr>
          </w:p>
          <w:p>
            <w:pPr>
              <w:spacing w:line="360" w:lineRule="auto"/>
              <w:ind w:firstLine="420" w:firstLineChars="200"/>
              <w:jc w:val="left"/>
              <w:rPr>
                <w:rFonts w:ascii="宋体"/>
                <w:szCs w:val="21"/>
              </w:rPr>
            </w:pPr>
          </w:p>
          <w:p>
            <w:pPr>
              <w:spacing w:line="360" w:lineRule="auto"/>
              <w:ind w:firstLine="420" w:firstLineChars="200"/>
              <w:jc w:val="left"/>
              <w:rPr>
                <w:rFonts w:ascii="宋体"/>
                <w:szCs w:val="21"/>
              </w:rPr>
            </w:pPr>
          </w:p>
          <w:p>
            <w:pPr>
              <w:spacing w:line="360" w:lineRule="auto"/>
              <w:ind w:firstLine="420" w:firstLineChars="200"/>
              <w:jc w:val="left"/>
              <w:rPr>
                <w:rFonts w:ascii="宋体"/>
                <w:szCs w:val="21"/>
              </w:rPr>
            </w:pPr>
          </w:p>
          <w:p>
            <w:pPr>
              <w:spacing w:line="360" w:lineRule="auto"/>
              <w:ind w:firstLine="420" w:firstLineChars="200"/>
              <w:jc w:val="left"/>
              <w:rPr>
                <w:rFonts w:ascii="宋体"/>
                <w:szCs w:val="21"/>
              </w:rPr>
            </w:pPr>
          </w:p>
          <w:p>
            <w:pPr>
              <w:spacing w:line="360" w:lineRule="auto"/>
              <w:ind w:firstLine="420" w:firstLineChars="200"/>
              <w:jc w:val="left"/>
              <w:rPr>
                <w:rFonts w:ascii="宋体"/>
                <w:szCs w:val="21"/>
              </w:rPr>
            </w:pPr>
          </w:p>
          <w:p>
            <w:pPr>
              <w:spacing w:line="360" w:lineRule="auto"/>
              <w:ind w:firstLine="420" w:firstLineChars="200"/>
              <w:jc w:val="left"/>
              <w:rPr>
                <w:rFonts w:ascii="宋体"/>
                <w:szCs w:val="21"/>
              </w:rPr>
            </w:pPr>
          </w:p>
          <w:p>
            <w:pPr>
              <w:spacing w:line="360" w:lineRule="auto"/>
              <w:ind w:firstLine="420" w:firstLineChars="200"/>
              <w:jc w:val="left"/>
              <w:rPr>
                <w:rFonts w:ascii="宋体"/>
                <w:szCs w:val="21"/>
              </w:rPr>
            </w:pPr>
          </w:p>
          <w:p>
            <w:pPr>
              <w:spacing w:line="360" w:lineRule="auto"/>
              <w:ind w:firstLine="420" w:firstLineChars="200"/>
              <w:jc w:val="left"/>
              <w:rPr>
                <w:rFonts w:ascii="宋体"/>
                <w:szCs w:val="21"/>
              </w:rPr>
            </w:pPr>
          </w:p>
          <w:p>
            <w:pPr>
              <w:spacing w:line="360" w:lineRule="auto"/>
              <w:ind w:firstLine="420" w:firstLineChars="200"/>
              <w:jc w:val="left"/>
              <w:rPr>
                <w:rFonts w:ascii="宋体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  <w:p>
            <w:pPr>
              <w:spacing w:line="360" w:lineRule="auto"/>
              <w:ind w:left="420"/>
              <w:jc w:val="left"/>
              <w:rPr>
                <w:rFonts w:ascii="宋体"/>
                <w:szCs w:val="21"/>
              </w:rPr>
            </w:pPr>
          </w:p>
          <w:p>
            <w:pPr>
              <w:spacing w:line="360" w:lineRule="auto"/>
              <w:ind w:left="420"/>
              <w:jc w:val="left"/>
              <w:rPr>
                <w:rFonts w:ascii="宋体"/>
                <w:szCs w:val="21"/>
              </w:rPr>
            </w:pPr>
          </w:p>
          <w:p>
            <w:pPr>
              <w:spacing w:line="360" w:lineRule="auto"/>
              <w:ind w:firstLine="420" w:firstLineChars="200"/>
              <w:jc w:val="left"/>
              <w:rPr>
                <w:rFonts w:ascii="宋体"/>
                <w:szCs w:val="21"/>
              </w:rPr>
            </w:pPr>
          </w:p>
          <w:p>
            <w:pPr>
              <w:widowControl/>
              <w:spacing w:line="360" w:lineRule="auto"/>
              <w:ind w:firstLine="420" w:firstLineChars="200"/>
              <w:jc w:val="left"/>
              <w:rPr>
                <w:rFonts w:ascii="宋体" w:cs="宋体"/>
                <w:szCs w:val="21"/>
              </w:rPr>
            </w:pPr>
          </w:p>
        </w:tc>
      </w:tr>
    </w:tbl>
    <w:p>
      <w:pPr>
        <w:spacing w:line="360" w:lineRule="auto"/>
      </w:pPr>
    </w:p>
    <w:sectPr>
      <w:headerReference r:id="rId3" w:type="default"/>
      <w:pgSz w:w="11906" w:h="16838"/>
      <w:pgMar w:top="1588" w:right="1361" w:bottom="1418" w:left="1701" w:header="907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B74A5A"/>
    <w:multiLevelType w:val="multilevel"/>
    <w:tmpl w:val="06B74A5A"/>
    <w:lvl w:ilvl="0" w:tentative="0">
      <w:start w:val="1"/>
      <w:numFmt w:val="decimal"/>
      <w:suff w:val="nothing"/>
      <w:lvlText w:val="%1、"/>
      <w:lvlJc w:val="left"/>
      <w:pPr>
        <w:ind w:left="78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1260" w:hanging="420"/>
      </w:pPr>
      <w:rPr>
        <w:rFonts w:hint="eastAsia" w:cs="Times New Roman"/>
      </w:rPr>
    </w:lvl>
    <w:lvl w:ilvl="2" w:tentative="0">
      <w:start w:val="1"/>
      <w:numFmt w:val="lowerRoman"/>
      <w:lvlText w:val="%3."/>
      <w:lvlJc w:val="right"/>
      <w:pPr>
        <w:ind w:left="1680" w:hanging="420"/>
      </w:pPr>
      <w:rPr>
        <w:rFonts w:hint="eastAsia" w:cs="Times New Roman"/>
      </w:rPr>
    </w:lvl>
    <w:lvl w:ilvl="3" w:tentative="0">
      <w:start w:val="1"/>
      <w:numFmt w:val="decimal"/>
      <w:lvlText w:val="%4."/>
      <w:lvlJc w:val="left"/>
      <w:pPr>
        <w:ind w:left="2100" w:hanging="420"/>
      </w:pPr>
      <w:rPr>
        <w:rFonts w:hint="eastAsia" w:cs="Times New Roman"/>
      </w:rPr>
    </w:lvl>
    <w:lvl w:ilvl="4" w:tentative="0">
      <w:start w:val="1"/>
      <w:numFmt w:val="lowerLetter"/>
      <w:lvlText w:val="%5)"/>
      <w:lvlJc w:val="left"/>
      <w:pPr>
        <w:ind w:left="2520" w:hanging="420"/>
      </w:pPr>
      <w:rPr>
        <w:rFonts w:hint="eastAsia" w:cs="Times New Roman"/>
      </w:rPr>
    </w:lvl>
    <w:lvl w:ilvl="5" w:tentative="0">
      <w:start w:val="1"/>
      <w:numFmt w:val="lowerRoman"/>
      <w:lvlText w:val="%6."/>
      <w:lvlJc w:val="right"/>
      <w:pPr>
        <w:ind w:left="2940" w:hanging="420"/>
      </w:pPr>
      <w:rPr>
        <w:rFonts w:hint="eastAsia" w:cs="Times New Roman"/>
      </w:rPr>
    </w:lvl>
    <w:lvl w:ilvl="6" w:tentative="0">
      <w:start w:val="1"/>
      <w:numFmt w:val="decimal"/>
      <w:lvlText w:val="%7."/>
      <w:lvlJc w:val="left"/>
      <w:pPr>
        <w:ind w:left="3360" w:hanging="420"/>
      </w:pPr>
      <w:rPr>
        <w:rFonts w:hint="eastAsia" w:cs="Times New Roman"/>
      </w:rPr>
    </w:lvl>
    <w:lvl w:ilvl="7" w:tentative="0">
      <w:start w:val="1"/>
      <w:numFmt w:val="lowerLetter"/>
      <w:lvlText w:val="%8)"/>
      <w:lvlJc w:val="left"/>
      <w:pPr>
        <w:ind w:left="3780" w:hanging="420"/>
      </w:pPr>
      <w:rPr>
        <w:rFonts w:hint="eastAsia" w:cs="Times New Roman"/>
      </w:rPr>
    </w:lvl>
    <w:lvl w:ilvl="8" w:tentative="0">
      <w:start w:val="1"/>
      <w:numFmt w:val="lowerRoman"/>
      <w:lvlText w:val="%9."/>
      <w:lvlJc w:val="right"/>
      <w:pPr>
        <w:ind w:left="4200" w:hanging="420"/>
      </w:pPr>
      <w:rPr>
        <w:rFonts w:hint="eastAsia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YTI3NzEyOTg3ZDk0YmEwNDE2ODhhOTBkNjM0ZDA5NGUifQ=="/>
  </w:docVars>
  <w:rsids>
    <w:rsidRoot w:val="00521B93"/>
    <w:rsid w:val="0004086B"/>
    <w:rsid w:val="00152022"/>
    <w:rsid w:val="002B3FCD"/>
    <w:rsid w:val="002E07D8"/>
    <w:rsid w:val="003530D9"/>
    <w:rsid w:val="00425CA8"/>
    <w:rsid w:val="00521B93"/>
    <w:rsid w:val="005F2625"/>
    <w:rsid w:val="00645927"/>
    <w:rsid w:val="00661577"/>
    <w:rsid w:val="006C5748"/>
    <w:rsid w:val="007164BB"/>
    <w:rsid w:val="00775461"/>
    <w:rsid w:val="007C31E6"/>
    <w:rsid w:val="007F5E86"/>
    <w:rsid w:val="00811E74"/>
    <w:rsid w:val="00900BD8"/>
    <w:rsid w:val="00993982"/>
    <w:rsid w:val="00A52134"/>
    <w:rsid w:val="00A81B38"/>
    <w:rsid w:val="00AF7847"/>
    <w:rsid w:val="00B62FF4"/>
    <w:rsid w:val="00B83BA1"/>
    <w:rsid w:val="00B909FC"/>
    <w:rsid w:val="00BC6003"/>
    <w:rsid w:val="00BE107C"/>
    <w:rsid w:val="00C3756A"/>
    <w:rsid w:val="00D077F8"/>
    <w:rsid w:val="00D36428"/>
    <w:rsid w:val="00DC2CD7"/>
    <w:rsid w:val="00DE1185"/>
    <w:rsid w:val="00ED7E3A"/>
    <w:rsid w:val="00FA2F0A"/>
    <w:rsid w:val="2D1D5D2E"/>
    <w:rsid w:val="3B987310"/>
    <w:rsid w:val="42684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 w:locked="1"/>
    <w:lsdException w:qFormat="1" w:unhideWhenUsed="0" w:uiPriority="0" w:semiHidden="0" w:name="heading 3"/>
    <w:lsdException w:uiPriority="0" w:name="heading 4" w:locked="1"/>
    <w:lsdException w:uiPriority="0" w:name="heading 5" w:locked="1"/>
    <w:lsdException w:uiPriority="0" w:name="heading 6" w:locked="1"/>
    <w:lsdException w:uiPriority="0" w:name="heading 7" w:locked="1"/>
    <w:lsdException w:uiPriority="0" w:name="heading 8" w:locked="1"/>
    <w:lsdException w:uiPriority="0" w:name="heading 9" w:locked="1"/>
    <w:lsdException w:uiPriority="0" w:name="index 1" w:locked="1"/>
    <w:lsdException w:uiPriority="0" w:name="index 2" w:locked="1"/>
    <w:lsdException w:uiPriority="0" w:name="index 3" w:locked="1"/>
    <w:lsdException w:uiPriority="0" w:name="index 4" w:locked="1"/>
    <w:lsdException w:uiPriority="0" w:name="index 5" w:locked="1"/>
    <w:lsdException w:uiPriority="0" w:name="index 6" w:locked="1"/>
    <w:lsdException w:uiPriority="0" w:name="index 7" w:locked="1"/>
    <w:lsdException w:uiPriority="0" w:name="index 8" w:locked="1"/>
    <w:lsdException w:uiPriority="0" w:name="index 9" w:locked="1"/>
    <w:lsdException w:qFormat="1" w:unhideWhenUsed="0" w:uiPriority="0" w:semiHidden="0" w:name="toc 1"/>
    <w:lsdException w:qFormat="1" w:unhideWhenUsed="0" w:uiPriority="0" w:semiHidden="0" w:name="toc 2"/>
    <w:lsdException w:uiPriority="0" w:name="toc 3" w:locked="1"/>
    <w:lsdException w:uiPriority="0" w:name="toc 4" w:locked="1"/>
    <w:lsdException w:uiPriority="0" w:name="toc 5" w:locked="1"/>
    <w:lsdException w:uiPriority="0" w:name="toc 6" w:locked="1"/>
    <w:lsdException w:uiPriority="0" w:name="toc 7" w:locked="1"/>
    <w:lsdException w:uiPriority="0" w:name="toc 8" w:locked="1"/>
    <w:lsdException w:uiPriority="0" w:name="toc 9" w:locked="1"/>
    <w:lsdException w:qFormat="1" w:unhideWhenUsed="0" w:uiPriority="0" w:semiHidden="0" w:name="Normal Indent"/>
    <w:lsdException w:uiPriority="0" w:name="footnote text" w:locked="1"/>
    <w:lsdException w:uiPriority="0" w:name="annotation text" w:locked="1"/>
    <w:lsdException w:qFormat="1" w:unhideWhenUsed="0" w:uiPriority="0" w:semiHidden="0" w:name="header"/>
    <w:lsdException w:qFormat="1" w:unhideWhenUsed="0" w:uiPriority="0" w:semiHidden="0" w:name="footer"/>
    <w:lsdException w:uiPriority="0" w:name="index heading" w:locked="1"/>
    <w:lsdException w:uiPriority="0" w:name="caption" w:locked="1"/>
    <w:lsdException w:uiPriority="0" w:name="table of figures" w:locked="1"/>
    <w:lsdException w:uiPriority="0" w:name="envelope address" w:locked="1"/>
    <w:lsdException w:uiPriority="0" w:name="envelope return" w:locked="1"/>
    <w:lsdException w:uiPriority="0" w:name="footnote reference" w:locked="1"/>
    <w:lsdException w:uiPriority="0" w:name="annotation reference" w:locked="1"/>
    <w:lsdException w:uiPriority="0" w:name="line number" w:locked="1"/>
    <w:lsdException w:qFormat="1" w:unhideWhenUsed="0" w:uiPriority="0" w:semiHidden="0" w:name="page number"/>
    <w:lsdException w:uiPriority="0" w:name="endnote reference" w:locked="1"/>
    <w:lsdException w:uiPriority="0" w:name="endnote text" w:locked="1"/>
    <w:lsdException w:uiPriority="0" w:name="table of authorities" w:locked="1"/>
    <w:lsdException w:uiPriority="0" w:name="macro" w:locked="1"/>
    <w:lsdException w:uiPriority="0" w:name="toa heading" w:locked="1"/>
    <w:lsdException w:uiPriority="0" w:name="List" w:locked="1"/>
    <w:lsdException w:uiPriority="0" w:name="List Bullet" w:locked="1"/>
    <w:lsdException w:uiPriority="0" w:name="List Number" w:locked="1"/>
    <w:lsdException w:uiPriority="0" w:name="List 2" w:locked="1"/>
    <w:lsdException w:uiPriority="0" w:name="List 3" w:locked="1"/>
    <w:lsdException w:uiPriority="0" w:name="List 4" w:locked="1"/>
    <w:lsdException w:uiPriority="0" w:name="List 5" w:locked="1"/>
    <w:lsdException w:uiPriority="0" w:name="List Bullet 2" w:locked="1"/>
    <w:lsdException w:uiPriority="0" w:name="List Bullet 3" w:locked="1"/>
    <w:lsdException w:uiPriority="0" w:name="List Bullet 4" w:locked="1"/>
    <w:lsdException w:uiPriority="0" w:name="List Bullet 5" w:locked="1"/>
    <w:lsdException w:uiPriority="0" w:name="List Number 2" w:locked="1"/>
    <w:lsdException w:uiPriority="0" w:name="List Number 3" w:locked="1"/>
    <w:lsdException w:uiPriority="0" w:name="List Number 4" w:locked="1"/>
    <w:lsdException w:uiPriority="0" w:name="List Number 5" w:locked="1"/>
    <w:lsdException w:qFormat="1" w:unhideWhenUsed="0" w:uiPriority="0" w:semiHidden="0" w:name="Title"/>
    <w:lsdException w:uiPriority="0" w:name="Closing" w:locked="1"/>
    <w:lsdException w:uiPriority="0" w:name="Signature" w:locked="1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 w:locked="1"/>
    <w:lsdException w:uiPriority="0" w:name="List Continue 2" w:locked="1"/>
    <w:lsdException w:uiPriority="0" w:name="List Continue 3" w:locked="1"/>
    <w:lsdException w:uiPriority="0" w:name="List Continue 4" w:locked="1"/>
    <w:lsdException w:uiPriority="0" w:name="List Continue 5" w:locked="1"/>
    <w:lsdException w:uiPriority="0" w:name="Message Header" w:locked="1"/>
    <w:lsdException w:qFormat="1" w:unhideWhenUsed="0" w:uiPriority="0" w:semiHidden="0" w:name="Subtitle"/>
    <w:lsdException w:uiPriority="0" w:name="Salutation" w:locked="1"/>
    <w:lsdException w:qFormat="1" w:unhideWhenUsed="0" w:uiPriority="0" w:semiHidden="0" w:name="Date"/>
    <w:lsdException w:uiPriority="0" w:name="Body Text First Indent" w:locked="1"/>
    <w:lsdException w:uiPriority="0" w:name="Body Text First Indent 2" w:locked="1"/>
    <w:lsdException w:uiPriority="0" w:name="Note Heading" w:locked="1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99" w:name="Body Text Indent 3" w:locked="1"/>
    <w:lsdException w:uiPriority="99" w:name="Block Text" w:locked="1"/>
    <w:lsdException w:qFormat="1" w:unhideWhenUsed="0" w:uiPriority="0" w:semiHidden="0" w:name="Hyperlink"/>
    <w:lsdException w:uiPriority="99" w:name="FollowedHyperlink" w:locked="1"/>
    <w:lsdException w:qFormat="1" w:unhideWhenUsed="0" w:uiPriority="0" w:semiHidden="0" w:name="Strong"/>
    <w:lsdException w:qFormat="1" w:unhideWhenUsed="0" w:uiPriority="20" w:semiHidden="0" w:name="Emphasis" w:locked="1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 w:locked="1"/>
    <w:lsdException w:qFormat="1" w:unhideWhenUsed="0" w:uiPriority="0" w:semiHidden="0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widowControl/>
      <w:spacing w:before="100" w:beforeAutospacing="1" w:after="100" w:afterAutospacing="1"/>
      <w:jc w:val="center"/>
      <w:outlineLvl w:val="0"/>
    </w:pPr>
    <w:rPr>
      <w:rFonts w:ascii="宋体" w:hAnsi="宋体" w:eastAsia="黑体"/>
      <w:kern w:val="36"/>
      <w:sz w:val="48"/>
      <w:szCs w:val="20"/>
    </w:rPr>
  </w:style>
  <w:style w:type="paragraph" w:styleId="3">
    <w:name w:val="heading 2"/>
    <w:basedOn w:val="1"/>
    <w:next w:val="1"/>
    <w:autoRedefine/>
    <w:qFormat/>
    <w:locked/>
    <w:uiPriority w:val="0"/>
    <w:pPr>
      <w:keepNext/>
      <w:keepLines/>
      <w:spacing w:before="260" w:after="260" w:line="415" w:lineRule="auto"/>
      <w:outlineLvl w:val="1"/>
    </w:pPr>
    <w:rPr>
      <w:rFonts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  <w:szCs w:val="20"/>
    </w:rPr>
  </w:style>
  <w:style w:type="character" w:default="1" w:styleId="24">
    <w:name w:val="Default Paragraph Font"/>
    <w:autoRedefine/>
    <w:semiHidden/>
    <w:unhideWhenUsed/>
    <w:qFormat/>
    <w:uiPriority w:val="1"/>
  </w:style>
  <w:style w:type="table" w:default="1" w:styleId="2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autoRedefine/>
    <w:qFormat/>
    <w:uiPriority w:val="0"/>
    <w:pPr>
      <w:ind w:firstLine="200" w:firstLineChars="200"/>
    </w:pPr>
  </w:style>
  <w:style w:type="paragraph" w:styleId="6">
    <w:name w:val="Document Map"/>
    <w:basedOn w:val="1"/>
    <w:qFormat/>
    <w:uiPriority w:val="0"/>
    <w:rPr>
      <w:rFonts w:ascii="宋体"/>
      <w:sz w:val="18"/>
      <w:szCs w:val="20"/>
    </w:rPr>
  </w:style>
  <w:style w:type="paragraph" w:styleId="7">
    <w:name w:val="Body Text 3"/>
    <w:basedOn w:val="1"/>
    <w:qFormat/>
    <w:uiPriority w:val="0"/>
    <w:pPr>
      <w:spacing w:after="120"/>
    </w:pPr>
    <w:rPr>
      <w:kern w:val="0"/>
      <w:sz w:val="16"/>
      <w:szCs w:val="20"/>
    </w:rPr>
  </w:style>
  <w:style w:type="paragraph" w:styleId="8">
    <w:name w:val="Body Text"/>
    <w:basedOn w:val="1"/>
    <w:qFormat/>
    <w:uiPriority w:val="0"/>
    <w:pPr>
      <w:spacing w:after="120"/>
    </w:pPr>
    <w:rPr>
      <w:kern w:val="0"/>
      <w:sz w:val="24"/>
      <w:szCs w:val="20"/>
    </w:rPr>
  </w:style>
  <w:style w:type="paragraph" w:styleId="9">
    <w:name w:val="Body Text Indent"/>
    <w:basedOn w:val="1"/>
    <w:qFormat/>
    <w:uiPriority w:val="0"/>
    <w:pPr>
      <w:autoSpaceDE w:val="0"/>
      <w:autoSpaceDN w:val="0"/>
      <w:adjustRightInd w:val="0"/>
      <w:ind w:firstLine="225" w:firstLineChars="225"/>
    </w:pPr>
    <w:rPr>
      <w:kern w:val="0"/>
      <w:sz w:val="24"/>
      <w:szCs w:val="20"/>
    </w:rPr>
  </w:style>
  <w:style w:type="paragraph" w:styleId="10">
    <w:name w:val="Plain 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/>
      <w:kern w:val="0"/>
      <w:sz w:val="24"/>
      <w:szCs w:val="20"/>
    </w:rPr>
  </w:style>
  <w:style w:type="paragraph" w:styleId="11">
    <w:name w:val="Date"/>
    <w:basedOn w:val="1"/>
    <w:next w:val="1"/>
    <w:qFormat/>
    <w:uiPriority w:val="0"/>
    <w:pPr>
      <w:spacing w:before="100" w:beforeAutospacing="1" w:after="100" w:afterAutospacing="1" w:line="240" w:lineRule="atLeast"/>
      <w:ind w:left="2500" w:leftChars="2500" w:firstLine="200" w:firstLineChars="200"/>
    </w:pPr>
    <w:rPr>
      <w:rFonts w:ascii="Calibri" w:hAnsi="Calibri"/>
      <w:szCs w:val="20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200" w:leftChars="200"/>
    </w:pPr>
    <w:rPr>
      <w:kern w:val="0"/>
      <w:sz w:val="24"/>
      <w:szCs w:val="20"/>
    </w:rPr>
  </w:style>
  <w:style w:type="paragraph" w:styleId="13">
    <w:name w:val="Balloon Text"/>
    <w:basedOn w:val="1"/>
    <w:qFormat/>
    <w:uiPriority w:val="0"/>
    <w:rPr>
      <w:kern w:val="0"/>
      <w:sz w:val="2"/>
      <w:szCs w:val="20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1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16">
    <w:name w:val="toc 1"/>
    <w:basedOn w:val="1"/>
    <w:next w:val="1"/>
    <w:qFormat/>
    <w:uiPriority w:val="0"/>
  </w:style>
  <w:style w:type="paragraph" w:styleId="17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等线 Light" w:eastAsia="等线 Light"/>
      <w:b/>
      <w:kern w:val="28"/>
      <w:sz w:val="32"/>
      <w:szCs w:val="20"/>
    </w:rPr>
  </w:style>
  <w:style w:type="paragraph" w:styleId="18">
    <w:name w:val="toc 2"/>
    <w:basedOn w:val="1"/>
    <w:next w:val="1"/>
    <w:qFormat/>
    <w:uiPriority w:val="0"/>
    <w:pPr>
      <w:ind w:left="200" w:leftChars="200"/>
    </w:pPr>
  </w:style>
  <w:style w:type="paragraph" w:styleId="19">
    <w:name w:val="Body Text 2"/>
    <w:basedOn w:val="1"/>
    <w:qFormat/>
    <w:uiPriority w:val="0"/>
    <w:pPr>
      <w:spacing w:after="120" w:line="480" w:lineRule="auto"/>
    </w:pPr>
    <w:rPr>
      <w:kern w:val="0"/>
      <w:sz w:val="24"/>
      <w:szCs w:val="20"/>
    </w:rPr>
  </w:style>
  <w:style w:type="paragraph" w:styleId="20">
    <w:name w:val="Normal (Web)"/>
    <w:basedOn w:val="1"/>
    <w:qFormat/>
    <w:locked/>
    <w:uiPriority w:val="0"/>
    <w:rPr>
      <w:sz w:val="24"/>
    </w:rPr>
  </w:style>
  <w:style w:type="paragraph" w:styleId="21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等线 Light" w:eastAsia="等线 Light"/>
      <w:b/>
      <w:sz w:val="32"/>
      <w:szCs w:val="20"/>
    </w:rPr>
  </w:style>
  <w:style w:type="table" w:styleId="23">
    <w:name w:val="Table Grid"/>
    <w:basedOn w:val="2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5">
    <w:name w:val="Strong"/>
    <w:qFormat/>
    <w:uiPriority w:val="0"/>
    <w:rPr>
      <w:rFonts w:cs="Times New Roman"/>
      <w:b/>
    </w:rPr>
  </w:style>
  <w:style w:type="character" w:styleId="26">
    <w:name w:val="page number"/>
    <w:qFormat/>
    <w:uiPriority w:val="0"/>
    <w:rPr>
      <w:rFonts w:cs="Times New Roman"/>
    </w:rPr>
  </w:style>
  <w:style w:type="character" w:styleId="27">
    <w:name w:val="Hyperlink"/>
    <w:autoRedefine/>
    <w:qFormat/>
    <w:uiPriority w:val="0"/>
    <w:rPr>
      <w:rFonts w:cs="Times New Roman"/>
      <w:color w:val="0563C1"/>
      <w:u w:val="single"/>
    </w:rPr>
  </w:style>
  <w:style w:type="character" w:customStyle="1" w:styleId="28">
    <w:name w:val="Body Text 3 Char"/>
    <w:autoRedefine/>
    <w:qFormat/>
    <w:locked/>
    <w:uiPriority w:val="0"/>
    <w:rPr>
      <w:rFonts w:cs="Times New Roman"/>
      <w:kern w:val="2"/>
      <w:sz w:val="16"/>
    </w:rPr>
  </w:style>
  <w:style w:type="character" w:customStyle="1" w:styleId="29">
    <w:name w:val="Body Text Char"/>
    <w:autoRedefine/>
    <w:qFormat/>
    <w:locked/>
    <w:uiPriority w:val="0"/>
    <w:rPr>
      <w:rFonts w:cs="Times New Roman"/>
      <w:kern w:val="2"/>
      <w:sz w:val="24"/>
    </w:rPr>
  </w:style>
  <w:style w:type="character" w:customStyle="1" w:styleId="30">
    <w:name w:val="Body Text Indent Char"/>
    <w:autoRedefine/>
    <w:qFormat/>
    <w:locked/>
    <w:uiPriority w:val="0"/>
    <w:rPr>
      <w:rFonts w:ascii="宋体" w:cs="Times New Roman"/>
      <w:color w:val="000000"/>
      <w:sz w:val="21"/>
      <w:lang w:val="zh-CN"/>
    </w:rPr>
  </w:style>
  <w:style w:type="character" w:customStyle="1" w:styleId="31">
    <w:name w:val="Body Text Indent 2 Char"/>
    <w:qFormat/>
    <w:locked/>
    <w:uiPriority w:val="0"/>
    <w:rPr>
      <w:rFonts w:cs="Times New Roman"/>
      <w:kern w:val="2"/>
      <w:sz w:val="24"/>
    </w:rPr>
  </w:style>
  <w:style w:type="character" w:customStyle="1" w:styleId="32">
    <w:name w:val="Balloon Text Char"/>
    <w:qFormat/>
    <w:locked/>
    <w:uiPriority w:val="0"/>
    <w:rPr>
      <w:rFonts w:cs="Times New Roman"/>
      <w:kern w:val="2"/>
      <w:sz w:val="18"/>
    </w:rPr>
  </w:style>
  <w:style w:type="character" w:customStyle="1" w:styleId="33">
    <w:name w:val="Body Text 2 Char"/>
    <w:qFormat/>
    <w:locked/>
    <w:uiPriority w:val="0"/>
    <w:rPr>
      <w:rFonts w:cs="Times New Roman"/>
      <w:kern w:val="2"/>
      <w:sz w:val="24"/>
    </w:rPr>
  </w:style>
  <w:style w:type="character" w:customStyle="1" w:styleId="34">
    <w:name w:val="标题 3 Char Char Char Char Char Char Char Char Char Char Char Char Char Char Char Char Char Char Char"/>
    <w:autoRedefine/>
    <w:qFormat/>
    <w:uiPriority w:val="0"/>
    <w:rPr>
      <w:rFonts w:ascii="宋体" w:eastAsia="宋体"/>
      <w:b/>
      <w:kern w:val="2"/>
      <w:sz w:val="32"/>
      <w:lang w:val="en-US" w:eastAsia="zh-CN"/>
    </w:rPr>
  </w:style>
  <w:style w:type="character" w:customStyle="1" w:styleId="35">
    <w:name w:val="_copr1"/>
    <w:qFormat/>
    <w:uiPriority w:val="0"/>
    <w:rPr>
      <w:vanish/>
    </w:rPr>
  </w:style>
  <w:style w:type="paragraph" w:customStyle="1" w:styleId="36">
    <w:name w:val="无间隔1"/>
    <w:qFormat/>
    <w:uiPriority w:val="0"/>
    <w:pPr>
      <w:widowControl w:val="0"/>
      <w:spacing w:beforeAutospacing="1" w:afterAutospacing="1"/>
      <w:ind w:firstLine="200" w:firstLineChars="200"/>
      <w:jc w:val="both"/>
    </w:pPr>
    <w:rPr>
      <w:rFonts w:ascii="Calibri" w:hAnsi="Calibri" w:eastAsia="宋体" w:cs="Times New Roman"/>
      <w:kern w:val="2"/>
      <w:sz w:val="22"/>
      <w:szCs w:val="22"/>
      <w:lang w:val="en-US" w:eastAsia="zh-CN" w:bidi="ar-SA"/>
    </w:rPr>
  </w:style>
  <w:style w:type="paragraph" w:customStyle="1" w:styleId="37">
    <w:name w:val="列出段落1"/>
    <w:basedOn w:val="1"/>
    <w:qFormat/>
    <w:uiPriority w:val="0"/>
    <w:pPr>
      <w:widowControl/>
      <w:ind w:left="720" w:firstLine="360"/>
      <w:contextualSpacing/>
      <w:jc w:val="left"/>
    </w:pPr>
    <w:rPr>
      <w:rFonts w:ascii="Calibri" w:hAnsi="Calibri"/>
      <w:kern w:val="0"/>
      <w:sz w:val="22"/>
      <w:szCs w:val="22"/>
    </w:rPr>
  </w:style>
  <w:style w:type="paragraph" w:customStyle="1" w:styleId="38">
    <w:name w:val="List Paragraph1"/>
    <w:basedOn w:val="1"/>
    <w:qFormat/>
    <w:uiPriority w:val="0"/>
    <w:pPr>
      <w:ind w:firstLine="200" w:firstLineChars="200"/>
    </w:pPr>
    <w:rPr>
      <w:rFonts w:ascii="Calibri" w:hAnsi="Calibri"/>
      <w:szCs w:val="22"/>
    </w:rPr>
  </w:style>
  <w:style w:type="character" w:customStyle="1" w:styleId="39">
    <w:name w:val="页眉 字符"/>
    <w:qFormat/>
    <w:uiPriority w:val="0"/>
  </w:style>
  <w:style w:type="character" w:customStyle="1" w:styleId="40">
    <w:name w:val="页脚 字符"/>
    <w:qFormat/>
    <w:uiPriority w:val="0"/>
  </w:style>
  <w:style w:type="paragraph" w:customStyle="1" w:styleId="41">
    <w:name w:val="TOC 标题1"/>
    <w:basedOn w:val="2"/>
    <w:next w:val="1"/>
    <w:qFormat/>
    <w:uiPriority w:val="0"/>
    <w:pPr>
      <w:keepNext/>
      <w:keepLines/>
      <w:spacing w:before="240" w:beforeAutospacing="0" w:after="0" w:afterAutospacing="0" w:line="259" w:lineRule="auto"/>
      <w:jc w:val="left"/>
      <w:outlineLvl w:val="9"/>
    </w:pPr>
    <w:rPr>
      <w:rFonts w:ascii="等线 Light" w:eastAsia="等线 Light"/>
      <w:b/>
      <w:color w:val="2F5496"/>
      <w:kern w:val="0"/>
      <w:szCs w:val="32"/>
    </w:rPr>
  </w:style>
  <w:style w:type="paragraph" w:customStyle="1" w:styleId="42">
    <w:name w:val="List Paragraph11"/>
    <w:basedOn w:val="1"/>
    <w:qFormat/>
    <w:uiPriority w:val="0"/>
    <w:pPr>
      <w:ind w:firstLine="200" w:firstLineChars="200"/>
    </w:pPr>
    <w:rPr>
      <w:rFonts w:ascii="Calibri" w:hAnsi="Calibri"/>
      <w:szCs w:val="22"/>
    </w:rPr>
  </w:style>
  <w:style w:type="paragraph" w:customStyle="1" w:styleId="43">
    <w:name w:val="样式 正文缩进正文（首行缩进两字）首行缩进两字identication正文1正文缩进1正文（首行缩进两字）1ide...1"/>
    <w:basedOn w:val="5"/>
    <w:qFormat/>
    <w:uiPriority w:val="0"/>
    <w:pPr>
      <w:spacing w:line="360" w:lineRule="auto"/>
      <w:ind w:left="181" w:leftChars="181" w:right="278" w:firstLine="0" w:firstLineChars="0"/>
    </w:pPr>
    <w:rPr>
      <w:kern w:val="0"/>
      <w:sz w:val="24"/>
      <w:szCs w:val="20"/>
    </w:rPr>
  </w:style>
  <w:style w:type="paragraph" w:styleId="4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135</Words>
  <Characters>771</Characters>
  <Lines>6</Lines>
  <Paragraphs>1</Paragraphs>
  <TotalTime>0</TotalTime>
  <ScaleCrop>false</ScaleCrop>
  <LinksUpToDate>false</LinksUpToDate>
  <CharactersWithSpaces>905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2018-06-25T02:47:00Z</dcterms:created>
  <dc:creator>VAIO</dc:creator>
  <cp:lastModifiedBy>69+顺其自然</cp:lastModifiedBy>
  <cp:lastPrinted>2021-03-04T03:11:00Z</cp:lastPrinted>
  <dcterms:modified xsi:type="dcterms:W3CDTF">2024-07-08T05:44:01Z</dcterms:modified>
  <dc:title>关于对徐州天成国贸二期建筑安装工程王世敏施工部分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2B8AA661873D4215A25BFB765983AC42</vt:lpwstr>
  </property>
</Properties>
</file>